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E7B5" w14:textId="1D32FEE6" w:rsidR="00124226" w:rsidRPr="0095066B" w:rsidRDefault="00124226" w:rsidP="001262E1">
      <w:pPr>
        <w:spacing w:line="276" w:lineRule="auto"/>
        <w:jc w:val="both"/>
        <w:rPr>
          <w:rFonts w:ascii="Arial" w:hAnsi="Arial" w:cs="Arial"/>
          <w:sz w:val="20"/>
          <w:szCs w:val="20"/>
          <w:lang w:val="de-CH" w:eastAsia="de-CH"/>
        </w:rPr>
      </w:pPr>
    </w:p>
    <w:p w14:paraId="583E3185" w14:textId="77777777" w:rsidR="002549AE" w:rsidRPr="0095066B" w:rsidRDefault="002549AE" w:rsidP="001262E1">
      <w:pPr>
        <w:shd w:val="clear" w:color="auto" w:fill="FFFFFF"/>
        <w:spacing w:line="276" w:lineRule="auto"/>
        <w:ind w:left="10"/>
        <w:jc w:val="both"/>
        <w:rPr>
          <w:rFonts w:ascii="Arial" w:hAnsi="Arial" w:cs="Arial"/>
          <w:sz w:val="20"/>
          <w:szCs w:val="20"/>
          <w:lang w:val="fr-FR"/>
        </w:rPr>
      </w:pPr>
    </w:p>
    <w:p w14:paraId="4A117BF5" w14:textId="5D4A83C2" w:rsidR="002549AE" w:rsidRPr="0095066B" w:rsidRDefault="002549AE" w:rsidP="0040215B">
      <w:pPr>
        <w:shd w:val="clear" w:color="auto" w:fill="FFFFFF"/>
        <w:spacing w:line="276" w:lineRule="auto"/>
        <w:ind w:left="10"/>
        <w:jc w:val="both"/>
        <w:rPr>
          <w:rFonts w:ascii="Arial" w:hAnsi="Arial" w:cs="Arial"/>
          <w:sz w:val="20"/>
          <w:szCs w:val="20"/>
          <w:lang w:val="en-US"/>
        </w:rPr>
      </w:pPr>
    </w:p>
    <w:p w14:paraId="44046B64" w14:textId="16A26FFB" w:rsidR="00171801" w:rsidRPr="0095066B" w:rsidRDefault="00171801" w:rsidP="0017180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it-CH"/>
        </w:rPr>
      </w:pPr>
      <w:r w:rsidRPr="0095066B">
        <w:rPr>
          <w:rFonts w:ascii="Arial" w:hAnsi="Arial" w:cs="Arial"/>
          <w:b/>
          <w:bCs/>
          <w:sz w:val="20"/>
          <w:szCs w:val="20"/>
          <w:highlight w:val="lightGray"/>
          <w:lang w:val="it-CH"/>
        </w:rPr>
        <w:t>Informazione sintetica</w:t>
      </w:r>
      <w:r w:rsidRPr="0095066B">
        <w:rPr>
          <w:rFonts w:ascii="Arial" w:hAnsi="Arial" w:cs="Arial"/>
          <w:sz w:val="20"/>
          <w:szCs w:val="20"/>
          <w:highlight w:val="lightGray"/>
          <w:lang w:val="it-CH"/>
        </w:rPr>
        <w:t xml:space="preserve"> BOTOX</w:t>
      </w:r>
      <w:r w:rsidRPr="0095066B">
        <w:rPr>
          <w:rFonts w:ascii="Arial" w:hAnsi="Arial" w:cs="Arial"/>
          <w:sz w:val="20"/>
          <w:szCs w:val="20"/>
          <w:highlight w:val="lightGray"/>
          <w:vertAlign w:val="superscript"/>
          <w:lang w:val="it-CH"/>
        </w:rPr>
        <w:t>®</w:t>
      </w:r>
      <w:r w:rsidRPr="0095066B">
        <w:rPr>
          <w:rFonts w:ascii="Arial" w:hAnsi="Arial" w:cs="Arial"/>
          <w:sz w:val="20"/>
          <w:szCs w:val="20"/>
          <w:highlight w:val="lightGray"/>
          <w:lang w:val="it-CH"/>
        </w:rPr>
        <w:t xml:space="preserve"> </w:t>
      </w:r>
      <w:r w:rsidR="00171FB7" w:rsidRPr="0095066B">
        <w:rPr>
          <w:rFonts w:ascii="Arial" w:hAnsi="Arial" w:cs="Arial"/>
          <w:sz w:val="20"/>
          <w:szCs w:val="20"/>
          <w:highlight w:val="lightGray"/>
          <w:lang w:val="it-CH"/>
        </w:rPr>
        <w:t xml:space="preserve">(tossina botulinica di tipo A) </w:t>
      </w:r>
      <w:r w:rsidR="00D95189" w:rsidRPr="0095066B">
        <w:rPr>
          <w:rFonts w:ascii="Arial" w:hAnsi="Arial" w:cs="Arial"/>
          <w:sz w:val="20"/>
          <w:szCs w:val="20"/>
          <w:highlight w:val="lightGray"/>
          <w:lang w:val="it-CH"/>
        </w:rPr>
        <w:t xml:space="preserve">50 e </w:t>
      </w:r>
      <w:r w:rsidRPr="0095066B">
        <w:rPr>
          <w:rFonts w:ascii="Arial" w:hAnsi="Arial" w:cs="Arial"/>
          <w:sz w:val="20"/>
          <w:szCs w:val="20"/>
          <w:highlight w:val="lightGray"/>
          <w:lang w:val="it-CH"/>
        </w:rPr>
        <w:t>100 Unità Allergan</w:t>
      </w:r>
    </w:p>
    <w:p w14:paraId="75896FB7" w14:textId="348FC77A" w:rsidR="00576EED" w:rsidRPr="0095066B" w:rsidRDefault="00576EED" w:rsidP="0017180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it-CH"/>
        </w:rPr>
      </w:pPr>
    </w:p>
    <w:p w14:paraId="78DA5452" w14:textId="77777777" w:rsidR="00576EED" w:rsidRPr="0095066B" w:rsidRDefault="00576EED" w:rsidP="0017180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it-CH"/>
        </w:rPr>
      </w:pPr>
    </w:p>
    <w:p w14:paraId="3A29D98B" w14:textId="21D62FC4" w:rsidR="001E079A" w:rsidRPr="0095066B" w:rsidRDefault="00171801" w:rsidP="00DB6BFC">
      <w:pPr>
        <w:shd w:val="clear" w:color="auto" w:fill="FFFFFF"/>
        <w:spacing w:line="276" w:lineRule="auto"/>
        <w:ind w:left="10"/>
        <w:jc w:val="both"/>
        <w:rPr>
          <w:rFonts w:ascii="Arial" w:hAnsi="Arial" w:cs="Arial"/>
          <w:lang w:val="it-CH"/>
        </w:rPr>
      </w:pPr>
      <w:r w:rsidRPr="0095066B">
        <w:rPr>
          <w:rFonts w:ascii="Arial" w:hAnsi="Arial" w:cs="Arial"/>
          <w:b/>
          <w:bCs/>
          <w:sz w:val="20"/>
          <w:szCs w:val="20"/>
          <w:lang w:val="it-CH"/>
        </w:rPr>
        <w:t xml:space="preserve">I: </w:t>
      </w:r>
      <w:r w:rsidR="00D62E8A" w:rsidRPr="0095066B">
        <w:rPr>
          <w:rFonts w:ascii="Arial" w:hAnsi="Arial" w:cs="Arial"/>
          <w:sz w:val="20"/>
          <w:szCs w:val="20"/>
          <w:lang w:val="it-CH"/>
        </w:rPr>
        <w:t xml:space="preserve">Neurologia: </w:t>
      </w:r>
      <w:r w:rsidRPr="0095066B">
        <w:rPr>
          <w:rFonts w:ascii="Arial" w:hAnsi="Arial" w:cs="Arial"/>
          <w:sz w:val="20"/>
          <w:szCs w:val="20"/>
          <w:lang w:val="it-CH"/>
        </w:rPr>
        <w:t>trattam</w:t>
      </w:r>
      <w:r w:rsidR="001E079A" w:rsidRPr="0095066B">
        <w:rPr>
          <w:rFonts w:ascii="Arial" w:hAnsi="Arial" w:cs="Arial"/>
          <w:sz w:val="20"/>
          <w:szCs w:val="20"/>
          <w:lang w:val="it-CH"/>
        </w:rPr>
        <w:t>ento</w:t>
      </w:r>
      <w:r w:rsidRPr="0095066B">
        <w:rPr>
          <w:rFonts w:ascii="Arial" w:hAnsi="Arial" w:cs="Arial"/>
          <w:sz w:val="20"/>
          <w:szCs w:val="20"/>
          <w:lang w:val="it-CH"/>
        </w:rPr>
        <w:t xml:space="preserve"> sintom</w:t>
      </w:r>
      <w:r w:rsidR="001E079A" w:rsidRPr="0095066B">
        <w:rPr>
          <w:rFonts w:ascii="Arial" w:hAnsi="Arial" w:cs="Arial"/>
          <w:sz w:val="20"/>
          <w:szCs w:val="20"/>
          <w:lang w:val="it-CH"/>
        </w:rPr>
        <w:t>atico</w:t>
      </w:r>
      <w:r w:rsidRPr="0095066B">
        <w:rPr>
          <w:rFonts w:ascii="Arial" w:hAnsi="Arial" w:cs="Arial"/>
          <w:sz w:val="20"/>
          <w:szCs w:val="20"/>
          <w:lang w:val="it-CH"/>
        </w:rPr>
        <w:t xml:space="preserve"> del blefarospasmo, spasmo emifacciale e distonie focali associate, nonché per correggere lo strabismo nei pazienti di età &gt; ai 12 anni</w:t>
      </w:r>
      <w:r w:rsidR="00DC1669" w:rsidRPr="0095066B">
        <w:rPr>
          <w:rFonts w:ascii="Arial" w:hAnsi="Arial" w:cs="Arial"/>
          <w:sz w:val="20"/>
          <w:szCs w:val="20"/>
          <w:lang w:val="it-CH"/>
        </w:rPr>
        <w:t>.</w:t>
      </w:r>
      <w:r w:rsidRPr="0095066B">
        <w:rPr>
          <w:rFonts w:ascii="Arial" w:hAnsi="Arial" w:cs="Arial"/>
          <w:sz w:val="20"/>
          <w:szCs w:val="20"/>
          <w:lang w:val="it-CH"/>
        </w:rPr>
        <w:t xml:space="preserve"> </w:t>
      </w:r>
      <w:r w:rsidR="008C1B63" w:rsidRPr="0095066B">
        <w:rPr>
          <w:rFonts w:ascii="Arial" w:hAnsi="Arial" w:cs="Arial"/>
          <w:sz w:val="20"/>
          <w:szCs w:val="20"/>
          <w:lang w:val="it-CH"/>
        </w:rPr>
        <w:t>Trattamento sintomatico di d</w:t>
      </w:r>
      <w:r w:rsidRPr="0095066B">
        <w:rPr>
          <w:rFonts w:ascii="Arial" w:hAnsi="Arial" w:cs="Arial"/>
          <w:sz w:val="20"/>
          <w:szCs w:val="20"/>
          <w:lang w:val="it-CH"/>
        </w:rPr>
        <w:t xml:space="preserve">istonia cervicale (Torticollis spasticus) negli adulti, </w:t>
      </w:r>
      <w:r w:rsidR="001E079A" w:rsidRPr="0095066B">
        <w:rPr>
          <w:rFonts w:ascii="Arial" w:hAnsi="Arial" w:cs="Arial"/>
          <w:sz w:val="20"/>
          <w:lang w:val="x-none"/>
        </w:rPr>
        <w:t>trattamento sintomatico della spasticità focale degli arti superiori e inferiori negli adulti, adolescenti e nei bambini dai 2 anni in su.</w:t>
      </w:r>
      <w:r w:rsidR="0013593A" w:rsidRPr="0095066B">
        <w:rPr>
          <w:rFonts w:ascii="Arial" w:hAnsi="Arial" w:cs="Arial"/>
          <w:sz w:val="20"/>
          <w:lang w:val="it-CH"/>
        </w:rPr>
        <w:t xml:space="preserve"> Profilassi della cefalea in pazienti adulti con emicrania cronica.</w:t>
      </w:r>
      <w:r w:rsidR="001E079A" w:rsidRPr="0095066B">
        <w:rPr>
          <w:rFonts w:ascii="Arial" w:hAnsi="Arial" w:cs="Arial"/>
          <w:sz w:val="20"/>
          <w:lang w:val="it-CH"/>
        </w:rPr>
        <w:t xml:space="preserve"> </w:t>
      </w:r>
      <w:r w:rsidR="00D62E8A" w:rsidRPr="0095066B">
        <w:rPr>
          <w:rFonts w:ascii="Arial" w:hAnsi="Arial" w:cs="Arial"/>
          <w:sz w:val="20"/>
          <w:szCs w:val="20"/>
          <w:lang w:val="it-CH"/>
        </w:rPr>
        <w:t xml:space="preserve">Cute: </w:t>
      </w:r>
      <w:r w:rsidRPr="0095066B">
        <w:rPr>
          <w:rFonts w:ascii="Arial" w:hAnsi="Arial" w:cs="Arial"/>
          <w:sz w:val="20"/>
          <w:szCs w:val="20"/>
          <w:lang w:val="it-CH"/>
        </w:rPr>
        <w:t>iperidrosi ascellare primaria</w:t>
      </w:r>
      <w:r w:rsidR="00D62E8A" w:rsidRPr="0095066B">
        <w:rPr>
          <w:rFonts w:ascii="Arial" w:hAnsi="Arial" w:cs="Arial"/>
          <w:sz w:val="20"/>
          <w:szCs w:val="20"/>
          <w:lang w:val="it-CH"/>
        </w:rPr>
        <w:t xml:space="preserve"> negli adulti.</w:t>
      </w:r>
      <w:r w:rsidRPr="0095066B">
        <w:rPr>
          <w:rFonts w:ascii="Arial" w:hAnsi="Arial" w:cs="Arial"/>
          <w:sz w:val="20"/>
          <w:szCs w:val="20"/>
          <w:lang w:val="it-CH"/>
        </w:rPr>
        <w:t xml:space="preserve"> </w:t>
      </w:r>
      <w:r w:rsidR="00D62E8A" w:rsidRPr="0095066B">
        <w:rPr>
          <w:rFonts w:ascii="Arial" w:hAnsi="Arial" w:cs="Arial"/>
          <w:sz w:val="20"/>
          <w:szCs w:val="20"/>
          <w:lang w:val="it-CH"/>
        </w:rPr>
        <w:t xml:space="preserve">Vescica: </w:t>
      </w:r>
      <w:r w:rsidRPr="0095066B">
        <w:rPr>
          <w:rFonts w:ascii="Arial" w:hAnsi="Arial" w:cs="Arial"/>
          <w:sz w:val="20"/>
          <w:szCs w:val="20"/>
          <w:lang w:val="it-CH"/>
        </w:rPr>
        <w:t>vescica iperattiva con sintomi di incontinenza urinaria, urgenza di urinare e minzione frequente in pazienti che non abbiano una risposta adeguata o siano intolleranti ai medicamenti anticolinergici</w:t>
      </w:r>
      <w:r w:rsidR="00DC1669" w:rsidRPr="0095066B">
        <w:rPr>
          <w:rFonts w:ascii="Arial" w:hAnsi="Arial" w:cs="Arial"/>
          <w:sz w:val="20"/>
          <w:szCs w:val="20"/>
          <w:lang w:val="it-CH"/>
        </w:rPr>
        <w:t>.</w:t>
      </w:r>
      <w:r w:rsidRPr="0095066B">
        <w:rPr>
          <w:rFonts w:ascii="Arial" w:hAnsi="Arial" w:cs="Arial"/>
          <w:sz w:val="20"/>
          <w:szCs w:val="20"/>
          <w:lang w:val="it-CH"/>
        </w:rPr>
        <w:t xml:space="preserve"> </w:t>
      </w:r>
      <w:r w:rsidR="007A0243" w:rsidRPr="0095066B">
        <w:rPr>
          <w:rFonts w:ascii="Arial" w:hAnsi="Arial" w:cs="Arial"/>
          <w:sz w:val="20"/>
          <w:szCs w:val="20"/>
          <w:lang w:val="it-CH"/>
        </w:rPr>
        <w:t>Trattamento dell' i</w:t>
      </w:r>
      <w:r w:rsidRPr="0095066B">
        <w:rPr>
          <w:rFonts w:ascii="Arial" w:hAnsi="Arial" w:cs="Arial"/>
          <w:sz w:val="20"/>
          <w:szCs w:val="20"/>
          <w:lang w:val="it-CH"/>
        </w:rPr>
        <w:t>ncontinenza urinaria dovuta a iperattività neurogena del muscolo detrusore in combinazione a patologie neurologiche (ad es. lesione del midollo spinale, sclerosi multipla)</w:t>
      </w:r>
      <w:r w:rsidR="00D62E8A" w:rsidRPr="0095066B">
        <w:rPr>
          <w:rFonts w:ascii="Arial" w:hAnsi="Arial" w:cs="Arial"/>
          <w:sz w:val="20"/>
          <w:szCs w:val="20"/>
          <w:lang w:val="it-CH"/>
        </w:rPr>
        <w:t xml:space="preserve"> negli adulti</w:t>
      </w:r>
      <w:r w:rsidRPr="0095066B">
        <w:rPr>
          <w:rFonts w:ascii="Arial" w:hAnsi="Arial" w:cs="Arial"/>
          <w:sz w:val="20"/>
          <w:szCs w:val="20"/>
          <w:lang w:val="it-CH"/>
        </w:rPr>
        <w:t>.</w:t>
      </w:r>
      <w:r w:rsidR="00225056" w:rsidRPr="0095066B">
        <w:rPr>
          <w:rFonts w:ascii="Arial" w:hAnsi="Arial" w:cs="Arial"/>
          <w:lang w:val="it-CH"/>
        </w:rPr>
        <w:t xml:space="preserve"> </w:t>
      </w:r>
      <w:r w:rsidR="00225056" w:rsidRPr="0095066B">
        <w:rPr>
          <w:rFonts w:ascii="Arial" w:hAnsi="Arial" w:cs="Arial"/>
          <w:sz w:val="20"/>
          <w:szCs w:val="20"/>
          <w:lang w:val="it-CH"/>
        </w:rPr>
        <w:t xml:space="preserve">Trattamento dell' </w:t>
      </w:r>
      <w:r w:rsidR="00985F76" w:rsidRPr="0095066B">
        <w:rPr>
          <w:rFonts w:ascii="Arial" w:hAnsi="Arial" w:cs="Arial"/>
          <w:sz w:val="20"/>
          <w:szCs w:val="20"/>
          <w:lang w:val="it-CH"/>
        </w:rPr>
        <w:t>ip</w:t>
      </w:r>
      <w:r w:rsidR="00CE2FF6" w:rsidRPr="0095066B">
        <w:rPr>
          <w:rFonts w:ascii="Arial" w:hAnsi="Arial" w:cs="Arial"/>
          <w:sz w:val="20"/>
          <w:szCs w:val="20"/>
          <w:lang w:val="it-CH"/>
        </w:rPr>
        <w:t>erattività neurogena del detrusore associata a malattia neurologica (ad es. spina bifida, lesione del midollo spinale), in pazienti pediatrici di età pari o superiore a 5 anni, la cui vescica viene svuotata in modo affidabile mediante cateterismo monouso regolare, e che rispondono in modo insufficiente ai medicamenti anticolinergici o non li tollerano.</w:t>
      </w:r>
      <w:r w:rsidRPr="0095066B">
        <w:rPr>
          <w:rFonts w:ascii="Arial" w:hAnsi="Arial" w:cs="Arial"/>
          <w:sz w:val="20"/>
          <w:szCs w:val="20"/>
          <w:lang w:val="it-CH"/>
        </w:rPr>
        <w:t xml:space="preserve"> </w:t>
      </w:r>
      <w:r w:rsidRPr="0095066B">
        <w:rPr>
          <w:rFonts w:ascii="Arial" w:hAnsi="Arial" w:cs="Arial"/>
          <w:b/>
          <w:bCs/>
          <w:sz w:val="20"/>
          <w:szCs w:val="20"/>
          <w:lang w:val="it-CH"/>
        </w:rPr>
        <w:t>P:</w:t>
      </w:r>
      <w:r w:rsidRPr="0095066B">
        <w:rPr>
          <w:rFonts w:ascii="Arial" w:hAnsi="Arial" w:cs="Arial"/>
          <w:sz w:val="20"/>
          <w:szCs w:val="20"/>
          <w:lang w:val="it-CH"/>
        </w:rPr>
        <w:t xml:space="preserve"> le unità di tossina botulinica non sono trasferibili ad altri preparati. Applicazione solo da parte di medici specialisti con esperienza e attrezzature adeguate (ad es. EMG). Determinazione individuale e in base alle indicazioni di una dose ottimale mediante titolazione della dose. </w:t>
      </w:r>
      <w:r w:rsidRPr="0095066B">
        <w:rPr>
          <w:rFonts w:ascii="Arial" w:hAnsi="Arial" w:cs="Arial"/>
          <w:b/>
          <w:bCs/>
          <w:sz w:val="20"/>
          <w:szCs w:val="20"/>
          <w:lang w:val="it-CH"/>
        </w:rPr>
        <w:t>C</w:t>
      </w:r>
      <w:r w:rsidR="001E079A" w:rsidRPr="0095066B">
        <w:rPr>
          <w:rFonts w:ascii="Arial" w:hAnsi="Arial" w:cs="Arial"/>
          <w:b/>
          <w:bCs/>
          <w:sz w:val="20"/>
          <w:szCs w:val="20"/>
          <w:lang w:val="it-CH"/>
        </w:rPr>
        <w:t>I</w:t>
      </w:r>
      <w:r w:rsidRPr="0095066B">
        <w:rPr>
          <w:rFonts w:ascii="Arial" w:hAnsi="Arial" w:cs="Arial"/>
          <w:b/>
          <w:bCs/>
          <w:sz w:val="20"/>
          <w:szCs w:val="20"/>
          <w:lang w:val="it-CH"/>
        </w:rPr>
        <w:t>:</w:t>
      </w:r>
      <w:r w:rsidRPr="0095066B">
        <w:rPr>
          <w:rFonts w:ascii="Arial" w:hAnsi="Arial" w:cs="Arial"/>
          <w:sz w:val="20"/>
          <w:szCs w:val="20"/>
          <w:lang w:val="it-CH"/>
        </w:rPr>
        <w:t xml:space="preserve"> ipersensibilità al principio attivo o agli eccipienti. Infezione nei siti di iniezione designati. </w:t>
      </w:r>
      <w:r w:rsidRPr="0095066B">
        <w:rPr>
          <w:rFonts w:ascii="Arial" w:hAnsi="Arial" w:cs="Arial"/>
          <w:iCs/>
          <w:sz w:val="20"/>
          <w:szCs w:val="20"/>
          <w:lang w:val="it-CH"/>
        </w:rPr>
        <w:t>In caso di iniezione nel detrusore:</w:t>
      </w:r>
      <w:r w:rsidRPr="0095066B">
        <w:rPr>
          <w:rFonts w:ascii="Arial" w:hAnsi="Arial" w:cs="Arial"/>
          <w:sz w:val="20"/>
          <w:szCs w:val="20"/>
          <w:lang w:val="it-CH"/>
        </w:rPr>
        <w:t xml:space="preserve"> infezione delle vie urinarie, ritenzione urinaria acuta senza catetere. </w:t>
      </w:r>
      <w:r w:rsidRPr="0095066B">
        <w:rPr>
          <w:rFonts w:ascii="Arial" w:hAnsi="Arial" w:cs="Arial"/>
          <w:b/>
          <w:sz w:val="20"/>
          <w:szCs w:val="20"/>
          <w:lang w:val="it-CH"/>
        </w:rPr>
        <w:t>A</w:t>
      </w:r>
      <w:r w:rsidRPr="0095066B">
        <w:rPr>
          <w:rFonts w:ascii="Arial" w:hAnsi="Arial" w:cs="Arial"/>
          <w:b/>
          <w:bCs/>
          <w:sz w:val="20"/>
          <w:szCs w:val="20"/>
          <w:lang w:val="it-CH"/>
        </w:rPr>
        <w:t>:</w:t>
      </w:r>
      <w:r w:rsidRPr="0095066B">
        <w:rPr>
          <w:rFonts w:ascii="Arial" w:hAnsi="Arial" w:cs="Arial"/>
          <w:b/>
          <w:sz w:val="20"/>
          <w:szCs w:val="20"/>
          <w:lang w:val="it-CH"/>
        </w:rPr>
        <w:t xml:space="preserve"> </w:t>
      </w:r>
      <w:r w:rsidRPr="0095066B">
        <w:rPr>
          <w:rFonts w:ascii="Arial" w:hAnsi="Arial" w:cs="Arial"/>
          <w:sz w:val="20"/>
          <w:szCs w:val="20"/>
          <w:lang w:val="it-CH"/>
        </w:rPr>
        <w:t xml:space="preserve">non superare il dosaggio raccomandato. Ponderare i benefici e i rischi prima del trattamento in ogni singolo caso (pazienti con mal. neurologiche concomitanti, disfagia e aspirazione nell’anamnesi, epilessia). Precedenti interventi chirurg., iniezioni in strutture anatomiche vulnerabili, infiammazione del sito di iniezione previsto, debolezza/atrofia del muscolo di iniezione; disturbi della deglutizione, dell’eloquio o della respirazione in presenza dei quali deve essere richiesto </w:t>
      </w:r>
      <w:r w:rsidR="007A23EA" w:rsidRPr="0095066B">
        <w:rPr>
          <w:rFonts w:ascii="Arial" w:hAnsi="Arial" w:cs="Arial"/>
          <w:sz w:val="20"/>
          <w:szCs w:val="20"/>
          <w:lang w:val="it-CH"/>
        </w:rPr>
        <w:t>immediatamente i servizi di emergenza</w:t>
      </w:r>
      <w:r w:rsidRPr="0095066B">
        <w:rPr>
          <w:rFonts w:ascii="Arial" w:hAnsi="Arial" w:cs="Arial"/>
          <w:sz w:val="20"/>
          <w:szCs w:val="20"/>
          <w:lang w:val="it-CH"/>
        </w:rPr>
        <w:t xml:space="preserve">; disponibilità di misure immediate in caso di shock anafilatt.; possibile riduzione dell’efficacia </w:t>
      </w:r>
      <w:r w:rsidR="00965FFB" w:rsidRPr="0095066B">
        <w:rPr>
          <w:rFonts w:ascii="Arial" w:hAnsi="Arial" w:cs="Arial"/>
          <w:sz w:val="20"/>
          <w:szCs w:val="20"/>
          <w:lang w:val="it-CH"/>
        </w:rPr>
        <w:t xml:space="preserve">dovuta alla </w:t>
      </w:r>
      <w:r w:rsidRPr="0095066B">
        <w:rPr>
          <w:rFonts w:ascii="Arial" w:hAnsi="Arial" w:cs="Arial"/>
          <w:sz w:val="20"/>
          <w:szCs w:val="20"/>
          <w:lang w:val="it-CH"/>
        </w:rPr>
        <w:t xml:space="preserve">formazione di anticorpi neutralizzanti. Prestare particolare attenzione in caso di malattie che possono portare a disfunzioni neuromuscolari periferiche e in pazienti con comprovata compromissione della conduzione neuromuscolare (ad es. miastenia gravis, sindrome di Eaton-Lambert). Prestare attenzione quando si inietta in prossimità dei polmoni (in particolare nella zona apicale). Utilizzare immediatamente la soluzione diluita nella siringa (ad es. in caso di incontinenza urinaria). </w:t>
      </w:r>
      <w:r w:rsidRPr="0095066B">
        <w:rPr>
          <w:rFonts w:ascii="Arial" w:hAnsi="Arial" w:cs="Arial"/>
          <w:b/>
          <w:bCs/>
          <w:sz w:val="20"/>
          <w:szCs w:val="20"/>
          <w:lang w:val="it-CH"/>
        </w:rPr>
        <w:t>I</w:t>
      </w:r>
      <w:r w:rsidR="001E079A" w:rsidRPr="0095066B">
        <w:rPr>
          <w:rFonts w:ascii="Arial" w:hAnsi="Arial" w:cs="Arial"/>
          <w:b/>
          <w:bCs/>
          <w:sz w:val="20"/>
          <w:szCs w:val="20"/>
          <w:lang w:val="it-CH"/>
        </w:rPr>
        <w:t>A</w:t>
      </w:r>
      <w:r w:rsidRPr="0095066B">
        <w:rPr>
          <w:rFonts w:ascii="Arial" w:hAnsi="Arial" w:cs="Arial"/>
          <w:b/>
          <w:bCs/>
          <w:sz w:val="20"/>
          <w:szCs w:val="20"/>
          <w:lang w:val="it-CH"/>
        </w:rPr>
        <w:t>:</w:t>
      </w:r>
      <w:r w:rsidRPr="0095066B">
        <w:rPr>
          <w:rFonts w:ascii="Arial" w:hAnsi="Arial" w:cs="Arial"/>
          <w:sz w:val="20"/>
          <w:szCs w:val="20"/>
          <w:lang w:val="it-CH"/>
        </w:rPr>
        <w:t xml:space="preserve"> antibiotici aminoglicosidici, spectinomicina, medicamenti che rallentano l’attività neuromuscolare (ad es</w:t>
      </w:r>
      <w:r w:rsidR="00650DEF" w:rsidRPr="0095066B">
        <w:rPr>
          <w:rFonts w:ascii="Arial" w:hAnsi="Arial" w:cs="Arial"/>
          <w:sz w:val="20"/>
          <w:szCs w:val="20"/>
          <w:lang w:val="it-CH"/>
        </w:rPr>
        <w:t>.</w:t>
      </w:r>
      <w:r w:rsidRPr="0095066B">
        <w:rPr>
          <w:rFonts w:ascii="Arial" w:hAnsi="Arial" w:cs="Arial"/>
          <w:sz w:val="20"/>
          <w:szCs w:val="20"/>
          <w:lang w:val="it-CH"/>
        </w:rPr>
        <w:t xml:space="preserve"> miorilassanti), altre tossine botuliniche. Non </w:t>
      </w:r>
      <w:r w:rsidR="00600602" w:rsidRPr="0095066B">
        <w:rPr>
          <w:rFonts w:ascii="Arial" w:hAnsi="Arial" w:cs="Arial"/>
          <w:sz w:val="20"/>
          <w:szCs w:val="20"/>
          <w:lang w:val="it-CH"/>
        </w:rPr>
        <w:t xml:space="preserve">mischiare </w:t>
      </w:r>
      <w:r w:rsidRPr="0095066B">
        <w:rPr>
          <w:rFonts w:ascii="Arial" w:hAnsi="Arial" w:cs="Arial"/>
          <w:sz w:val="20"/>
          <w:szCs w:val="20"/>
          <w:lang w:val="it-CH"/>
        </w:rPr>
        <w:t>con altri medicamenti. Sconsigliato alle donne in età fertile che non us</w:t>
      </w:r>
      <w:r w:rsidR="009E16D2" w:rsidRPr="0095066B">
        <w:rPr>
          <w:rFonts w:ascii="Arial" w:hAnsi="Arial" w:cs="Arial"/>
          <w:sz w:val="20"/>
          <w:szCs w:val="20"/>
          <w:lang w:val="it-CH"/>
        </w:rPr>
        <w:t>an</w:t>
      </w:r>
      <w:r w:rsidRPr="0095066B">
        <w:rPr>
          <w:rFonts w:ascii="Arial" w:hAnsi="Arial" w:cs="Arial"/>
          <w:sz w:val="20"/>
          <w:szCs w:val="20"/>
          <w:lang w:val="it-CH"/>
        </w:rPr>
        <w:t xml:space="preserve">o di contraccettivi, durante la gravidanza o l’allattamento. </w:t>
      </w:r>
      <w:r w:rsidRPr="0095066B">
        <w:rPr>
          <w:rFonts w:ascii="Arial" w:hAnsi="Arial" w:cs="Arial"/>
          <w:b/>
          <w:bCs/>
          <w:sz w:val="20"/>
          <w:szCs w:val="20"/>
          <w:lang w:val="it-CH"/>
        </w:rPr>
        <w:t>E</w:t>
      </w:r>
      <w:r w:rsidR="001E079A" w:rsidRPr="0095066B">
        <w:rPr>
          <w:rFonts w:ascii="Arial" w:hAnsi="Arial" w:cs="Arial"/>
          <w:b/>
          <w:bCs/>
          <w:sz w:val="20"/>
          <w:szCs w:val="20"/>
          <w:lang w:val="it-CH"/>
        </w:rPr>
        <w:t>I</w:t>
      </w:r>
      <w:r w:rsidRPr="0095066B">
        <w:rPr>
          <w:rFonts w:ascii="Arial" w:hAnsi="Arial" w:cs="Arial"/>
          <w:b/>
          <w:bCs/>
          <w:sz w:val="20"/>
          <w:szCs w:val="20"/>
          <w:lang w:val="it-CH"/>
        </w:rPr>
        <w:t>:</w:t>
      </w:r>
      <w:r w:rsidRPr="0095066B">
        <w:rPr>
          <w:rFonts w:ascii="Arial" w:hAnsi="Arial" w:cs="Arial"/>
          <w:sz w:val="20"/>
          <w:szCs w:val="20"/>
          <w:lang w:val="it-CH"/>
        </w:rPr>
        <w:t xml:space="preserve"> </w:t>
      </w:r>
      <w:r w:rsidR="00BC75A8" w:rsidRPr="0095066B">
        <w:rPr>
          <w:rFonts w:ascii="Arial" w:hAnsi="Arial" w:cs="Arial"/>
          <w:iCs/>
          <w:sz w:val="20"/>
          <w:szCs w:val="20"/>
          <w:lang w:val="it-CH"/>
        </w:rPr>
        <w:t>m</w:t>
      </w:r>
      <w:r w:rsidRPr="0095066B">
        <w:rPr>
          <w:rFonts w:ascii="Arial" w:hAnsi="Arial" w:cs="Arial"/>
          <w:iCs/>
          <w:sz w:val="20"/>
          <w:szCs w:val="20"/>
          <w:lang w:val="it-CH"/>
        </w:rPr>
        <w:t>olto comune:</w:t>
      </w:r>
      <w:r w:rsidRPr="0095066B">
        <w:rPr>
          <w:rFonts w:ascii="Arial" w:hAnsi="Arial" w:cs="Arial"/>
          <w:sz w:val="20"/>
          <w:szCs w:val="20"/>
          <w:lang w:val="it-CH"/>
        </w:rPr>
        <w:t xml:space="preserve"> </w:t>
      </w:r>
      <w:r w:rsidR="00BC75A8" w:rsidRPr="0095066B">
        <w:rPr>
          <w:rFonts w:ascii="Arial" w:hAnsi="Arial" w:cs="Arial"/>
          <w:sz w:val="20"/>
          <w:lang w:val="it-CH"/>
        </w:rPr>
        <w:t>p</w:t>
      </w:r>
      <w:r w:rsidR="00BC75A8" w:rsidRPr="0095066B">
        <w:rPr>
          <w:rFonts w:ascii="Arial" w:hAnsi="Arial" w:cs="Arial"/>
          <w:sz w:val="20"/>
          <w:lang w:val="x-none"/>
        </w:rPr>
        <w:t xml:space="preserve">tosi palpebrale superiore, disturbi del movimento oculare, disfagia, debolezza muscolare, dolore, infezioni delle vie urinarie, disuria, </w:t>
      </w:r>
      <w:r w:rsidR="00650DEF" w:rsidRPr="0095066B">
        <w:rPr>
          <w:rFonts w:ascii="Arial" w:hAnsi="Arial" w:cs="Arial"/>
          <w:sz w:val="20"/>
          <w:lang w:val="x-none"/>
        </w:rPr>
        <w:t>batteriuria,</w:t>
      </w:r>
      <w:r w:rsidR="00650DEF" w:rsidRPr="0095066B">
        <w:rPr>
          <w:rFonts w:ascii="Arial" w:hAnsi="Arial" w:cs="Arial"/>
          <w:sz w:val="20"/>
          <w:lang w:val="it-CH"/>
        </w:rPr>
        <w:t xml:space="preserve"> </w:t>
      </w:r>
      <w:r w:rsidR="00BC75A8" w:rsidRPr="0095066B">
        <w:rPr>
          <w:rFonts w:ascii="Arial" w:hAnsi="Arial" w:cs="Arial"/>
          <w:sz w:val="20"/>
          <w:lang w:val="x-none"/>
        </w:rPr>
        <w:t>ritenzione urinaria, volume residuo urinario, dolore al sito di iniezione.</w:t>
      </w:r>
      <w:r w:rsidR="00111490" w:rsidRPr="0095066B">
        <w:rPr>
          <w:rFonts w:ascii="Arial" w:hAnsi="Arial" w:cs="Arial"/>
          <w:sz w:val="20"/>
          <w:szCs w:val="20"/>
          <w:lang w:val="it-CH"/>
        </w:rPr>
        <w:t xml:space="preserve"> </w:t>
      </w:r>
      <w:r w:rsidRPr="0095066B">
        <w:rPr>
          <w:rFonts w:ascii="Arial" w:hAnsi="Arial" w:cs="Arial"/>
          <w:b/>
          <w:bCs/>
          <w:sz w:val="20"/>
          <w:szCs w:val="20"/>
          <w:lang w:val="it-CH"/>
        </w:rPr>
        <w:t>C:</w:t>
      </w:r>
      <w:r w:rsidRPr="0095066B">
        <w:rPr>
          <w:rFonts w:ascii="Arial" w:hAnsi="Arial" w:cs="Arial"/>
          <w:bCs/>
          <w:sz w:val="20"/>
          <w:szCs w:val="20"/>
          <w:lang w:val="it-CH"/>
        </w:rPr>
        <w:t xml:space="preserve"> </w:t>
      </w:r>
      <w:r w:rsidR="00D95189" w:rsidRPr="0095066B">
        <w:rPr>
          <w:rFonts w:ascii="Arial" w:hAnsi="Arial" w:cs="Arial"/>
          <w:sz w:val="20"/>
          <w:szCs w:val="20"/>
          <w:lang w:val="it-CH"/>
        </w:rPr>
        <w:t xml:space="preserve">2 x 1 flacone </w:t>
      </w:r>
      <w:r w:rsidR="003B7325" w:rsidRPr="0095066B">
        <w:rPr>
          <w:rFonts w:ascii="Arial" w:hAnsi="Arial" w:cs="Arial"/>
          <w:sz w:val="20"/>
          <w:szCs w:val="20"/>
          <w:lang w:val="it-CH"/>
        </w:rPr>
        <w:t xml:space="preserve">di </w:t>
      </w:r>
      <w:r w:rsidR="00D95189" w:rsidRPr="0095066B">
        <w:rPr>
          <w:rFonts w:ascii="Arial" w:hAnsi="Arial" w:cs="Arial"/>
          <w:sz w:val="20"/>
          <w:szCs w:val="20"/>
          <w:lang w:val="it-CH"/>
        </w:rPr>
        <w:t>BOTOX</w:t>
      </w:r>
      <w:r w:rsidR="00D95189" w:rsidRPr="0095066B">
        <w:rPr>
          <w:rFonts w:ascii="Arial" w:hAnsi="Arial" w:cs="Arial"/>
          <w:sz w:val="20"/>
          <w:vertAlign w:val="superscript"/>
          <w:lang w:val="x-none"/>
        </w:rPr>
        <w:t>®</w:t>
      </w:r>
      <w:r w:rsidR="00D95189" w:rsidRPr="0095066B">
        <w:rPr>
          <w:rFonts w:ascii="Arial" w:hAnsi="Arial" w:cs="Arial"/>
          <w:sz w:val="20"/>
          <w:lang w:val="x-none"/>
        </w:rPr>
        <w:t xml:space="preserve"> </w:t>
      </w:r>
      <w:r w:rsidR="003B7325" w:rsidRPr="0095066B">
        <w:rPr>
          <w:rFonts w:ascii="Arial" w:hAnsi="Arial" w:cs="Arial"/>
          <w:sz w:val="20"/>
          <w:lang w:val="x-none"/>
        </w:rPr>
        <w:t>da 50 unità Allergan</w:t>
      </w:r>
      <w:r w:rsidR="00D95189" w:rsidRPr="0095066B">
        <w:rPr>
          <w:rFonts w:ascii="Arial" w:hAnsi="Arial" w:cs="Arial"/>
          <w:sz w:val="20"/>
          <w:lang w:val="x-none"/>
        </w:rPr>
        <w:t xml:space="preserve">. </w:t>
      </w:r>
      <w:r w:rsidRPr="0095066B">
        <w:rPr>
          <w:rFonts w:ascii="Arial" w:hAnsi="Arial" w:cs="Arial"/>
          <w:sz w:val="20"/>
          <w:szCs w:val="20"/>
          <w:lang w:val="it-CH"/>
        </w:rPr>
        <w:t>1 e 2 x 1 flacone di BOTOX</w:t>
      </w:r>
      <w:r w:rsidRPr="0095066B">
        <w:rPr>
          <w:rFonts w:ascii="Arial" w:hAnsi="Arial" w:cs="Arial"/>
          <w:sz w:val="20"/>
          <w:vertAlign w:val="superscript"/>
          <w:lang w:val="x-none"/>
        </w:rPr>
        <w:t>®</w:t>
      </w:r>
      <w:r w:rsidRPr="0095066B">
        <w:rPr>
          <w:rFonts w:ascii="Arial" w:hAnsi="Arial" w:cs="Arial"/>
          <w:sz w:val="20"/>
          <w:lang w:val="x-none"/>
        </w:rPr>
        <w:t xml:space="preserve"> </w:t>
      </w:r>
      <w:r w:rsidR="003B7325" w:rsidRPr="0095066B">
        <w:rPr>
          <w:rFonts w:ascii="Arial" w:hAnsi="Arial" w:cs="Arial"/>
          <w:sz w:val="20"/>
          <w:lang w:val="x-none"/>
        </w:rPr>
        <w:t xml:space="preserve">da </w:t>
      </w:r>
      <w:r w:rsidR="003B7325" w:rsidRPr="0095066B">
        <w:rPr>
          <w:rFonts w:ascii="Arial" w:hAnsi="Arial" w:cs="Arial"/>
          <w:sz w:val="20"/>
          <w:lang w:val="de-CH"/>
        </w:rPr>
        <w:t>10</w:t>
      </w:r>
      <w:r w:rsidR="003B7325" w:rsidRPr="0095066B">
        <w:rPr>
          <w:rFonts w:ascii="Arial" w:hAnsi="Arial" w:cs="Arial"/>
          <w:sz w:val="20"/>
          <w:lang w:val="x-none"/>
        </w:rPr>
        <w:t>0 unità Allergan</w:t>
      </w:r>
      <w:r w:rsidRPr="0095066B">
        <w:rPr>
          <w:rFonts w:ascii="Arial" w:hAnsi="Arial" w:cs="Arial"/>
          <w:sz w:val="20"/>
          <w:lang w:val="x-none"/>
        </w:rPr>
        <w:t xml:space="preserve">. </w:t>
      </w:r>
      <w:r w:rsidR="0095066B" w:rsidRPr="0095066B">
        <w:rPr>
          <w:rFonts w:ascii="Arial" w:hAnsi="Arial" w:cs="Arial"/>
          <w:sz w:val="20"/>
          <w:lang w:val="en-US"/>
        </w:rPr>
        <w:t>Lista</w:t>
      </w:r>
      <w:r w:rsidR="00111490" w:rsidRPr="0095066B">
        <w:rPr>
          <w:rFonts w:ascii="Arial" w:hAnsi="Arial" w:cs="Arial"/>
          <w:sz w:val="20"/>
          <w:lang w:val="x-none"/>
        </w:rPr>
        <w:t xml:space="preserve"> A, con limitazione. </w:t>
      </w:r>
      <w:r w:rsidR="001E079A" w:rsidRPr="0095066B">
        <w:rPr>
          <w:rFonts w:ascii="Arial" w:hAnsi="Arial" w:cs="Arial"/>
          <w:b/>
          <w:bCs/>
          <w:sz w:val="20"/>
          <w:lang w:val="x-none"/>
        </w:rPr>
        <w:t>T:</w:t>
      </w:r>
      <w:r w:rsidR="001E079A" w:rsidRPr="0095066B">
        <w:rPr>
          <w:rFonts w:ascii="Arial" w:hAnsi="Arial" w:cs="Arial"/>
          <w:sz w:val="20"/>
          <w:lang w:val="x-none"/>
        </w:rPr>
        <w:t xml:space="preserve"> </w:t>
      </w:r>
      <w:r w:rsidR="00111490" w:rsidRPr="0095066B">
        <w:rPr>
          <w:rFonts w:ascii="Arial" w:hAnsi="Arial" w:cs="Arial"/>
          <w:sz w:val="20"/>
          <w:lang w:val="x-none"/>
        </w:rPr>
        <w:t>A</w:t>
      </w:r>
      <w:r w:rsidR="00D95189" w:rsidRPr="0095066B">
        <w:rPr>
          <w:rFonts w:ascii="Arial" w:hAnsi="Arial" w:cs="Arial"/>
          <w:sz w:val="20"/>
          <w:lang w:val="it-CH"/>
        </w:rPr>
        <w:t>bbVie</w:t>
      </w:r>
      <w:r w:rsidR="00111490" w:rsidRPr="0095066B">
        <w:rPr>
          <w:rFonts w:ascii="Arial" w:hAnsi="Arial" w:cs="Arial"/>
          <w:sz w:val="20"/>
          <w:lang w:val="x-none"/>
        </w:rPr>
        <w:t xml:space="preserve"> AG, </w:t>
      </w:r>
      <w:bookmarkStart w:id="0" w:name="_Hlk79398832"/>
      <w:r w:rsidR="00111490" w:rsidRPr="0095066B">
        <w:rPr>
          <w:rFonts w:ascii="Arial" w:hAnsi="Arial" w:cs="Arial"/>
          <w:sz w:val="20"/>
          <w:lang w:val="x-none"/>
        </w:rPr>
        <w:t>Alte Steinhauserstrasse 14, 6330 Cham</w:t>
      </w:r>
      <w:bookmarkEnd w:id="0"/>
      <w:r w:rsidR="00111490" w:rsidRPr="0095066B">
        <w:rPr>
          <w:rFonts w:ascii="Arial" w:hAnsi="Arial" w:cs="Arial"/>
          <w:sz w:val="20"/>
          <w:lang w:val="x-none"/>
        </w:rPr>
        <w:t xml:space="preserve">, </w:t>
      </w:r>
      <w:bookmarkStart w:id="1" w:name="_Hlk79398844"/>
      <w:r w:rsidR="00FC730D" w:rsidRPr="0095066B">
        <w:rPr>
          <w:rFonts w:ascii="Arial" w:hAnsi="Arial" w:cs="Arial"/>
          <w:sz w:val="20"/>
          <w:lang w:val="it-CH"/>
        </w:rPr>
        <w:t>t</w:t>
      </w:r>
      <w:r w:rsidR="00111490" w:rsidRPr="0095066B">
        <w:rPr>
          <w:rFonts w:ascii="Arial" w:hAnsi="Arial" w:cs="Arial"/>
          <w:sz w:val="20"/>
          <w:lang w:val="x-none"/>
        </w:rPr>
        <w:t>el. (+41) 41 399 15 00.</w:t>
      </w:r>
      <w:bookmarkEnd w:id="1"/>
      <w:r w:rsidR="00650DEF" w:rsidRPr="0095066B">
        <w:rPr>
          <w:rFonts w:ascii="Arial" w:hAnsi="Arial" w:cs="Arial"/>
          <w:sz w:val="20"/>
          <w:lang w:val="x-none"/>
        </w:rPr>
        <w:t xml:space="preserve"> </w:t>
      </w:r>
      <w:r w:rsidR="001E079A" w:rsidRPr="0095066B">
        <w:rPr>
          <w:rFonts w:ascii="Arial" w:hAnsi="Arial" w:cs="Arial"/>
          <w:sz w:val="20"/>
          <w:lang w:val="x-none"/>
        </w:rPr>
        <w:t>Per informazioni dettagliate</w:t>
      </w:r>
      <w:r w:rsidR="0095066B" w:rsidRPr="0095066B">
        <w:rPr>
          <w:rFonts w:ascii="Arial" w:hAnsi="Arial" w:cs="Arial"/>
          <w:sz w:val="20"/>
          <w:lang w:val="fr-CH"/>
        </w:rPr>
        <w:t>, consultare la informazione professionale</w:t>
      </w:r>
      <w:r w:rsidR="001E079A" w:rsidRPr="0095066B">
        <w:rPr>
          <w:rFonts w:ascii="Arial" w:hAnsi="Arial" w:cs="Arial"/>
          <w:sz w:val="20"/>
          <w:lang w:val="x-none"/>
        </w:rPr>
        <w:t xml:space="preserve">: </w:t>
      </w:r>
      <w:hyperlink r:id="rId12" w:history="1">
        <w:r w:rsidR="001E079A" w:rsidRPr="0095066B">
          <w:rPr>
            <w:rFonts w:ascii="Arial" w:hAnsi="Arial" w:cs="Arial"/>
            <w:sz w:val="20"/>
            <w:lang w:val="x-none"/>
          </w:rPr>
          <w:t>www.swissmedicinfo.ch</w:t>
        </w:r>
      </w:hyperlink>
      <w:r w:rsidR="001E079A" w:rsidRPr="0095066B">
        <w:rPr>
          <w:rFonts w:ascii="Arial" w:hAnsi="Arial" w:cs="Arial"/>
          <w:sz w:val="20"/>
          <w:lang w:val="x-none"/>
        </w:rPr>
        <w:t xml:space="preserve"> (V</w:t>
      </w:r>
      <w:r w:rsidR="00DB6BFC" w:rsidRPr="0095066B">
        <w:rPr>
          <w:rFonts w:ascii="Arial" w:hAnsi="Arial" w:cs="Arial"/>
          <w:sz w:val="20"/>
          <w:lang w:val="it-CH"/>
        </w:rPr>
        <w:t>4</w:t>
      </w:r>
      <w:r w:rsidR="001E079A" w:rsidRPr="0095066B">
        <w:rPr>
          <w:rFonts w:ascii="Arial" w:hAnsi="Arial" w:cs="Arial"/>
          <w:sz w:val="20"/>
          <w:lang w:val="x-none"/>
        </w:rPr>
        <w:t>).</w:t>
      </w:r>
    </w:p>
    <w:p w14:paraId="5F3840AB" w14:textId="0C15C295" w:rsidR="00171FB7" w:rsidRPr="0095066B" w:rsidRDefault="00171FB7" w:rsidP="00111490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val="it-CH"/>
        </w:rPr>
      </w:pPr>
    </w:p>
    <w:p w14:paraId="2A16969A" w14:textId="77777777" w:rsidR="00171FB7" w:rsidRPr="0095066B" w:rsidRDefault="00171FB7" w:rsidP="00171FB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  <w:shd w:val="clear" w:color="auto" w:fill="F0F4F7"/>
          <w:lang w:val="it-CH"/>
        </w:rPr>
      </w:pPr>
    </w:p>
    <w:p w14:paraId="2CA454EC" w14:textId="77777777" w:rsidR="001E079A" w:rsidRPr="0095066B" w:rsidRDefault="001E079A" w:rsidP="00171FB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highlight w:val="lightGray"/>
          <w:lang w:val="it-CH"/>
        </w:rPr>
      </w:pPr>
    </w:p>
    <w:p w14:paraId="39D6752B" w14:textId="30D9DC9D" w:rsidR="00171FB7" w:rsidRPr="0095066B" w:rsidRDefault="00C81668" w:rsidP="00EB19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it-CH"/>
        </w:rPr>
      </w:pPr>
      <w:r w:rsidRPr="0095066B">
        <w:rPr>
          <w:rFonts w:ascii="Arial" w:hAnsi="Arial" w:cs="Arial"/>
          <w:sz w:val="20"/>
          <w:szCs w:val="20"/>
          <w:lang w:val="it-CH"/>
        </w:rPr>
        <w:t xml:space="preserve">CH-BTX-230140 </w:t>
      </w:r>
      <w:r w:rsidR="00D07095" w:rsidRPr="0095066B">
        <w:rPr>
          <w:rFonts w:ascii="Arial" w:hAnsi="Arial" w:cs="Arial"/>
          <w:sz w:val="20"/>
          <w:szCs w:val="20"/>
          <w:lang w:val="it-CH"/>
        </w:rPr>
        <w:t>0</w:t>
      </w:r>
      <w:r w:rsidR="00DB6BFC" w:rsidRPr="0095066B">
        <w:rPr>
          <w:rFonts w:ascii="Arial" w:hAnsi="Arial" w:cs="Arial"/>
          <w:sz w:val="20"/>
          <w:szCs w:val="20"/>
          <w:lang w:val="it-CH"/>
        </w:rPr>
        <w:t>8</w:t>
      </w:r>
      <w:r w:rsidR="00D07095" w:rsidRPr="0095066B">
        <w:rPr>
          <w:rFonts w:ascii="Arial" w:hAnsi="Arial" w:cs="Arial"/>
          <w:sz w:val="20"/>
          <w:szCs w:val="20"/>
          <w:lang w:val="it-CH"/>
        </w:rPr>
        <w:t>/202</w:t>
      </w:r>
      <w:r w:rsidR="0013593A" w:rsidRPr="0095066B">
        <w:rPr>
          <w:rFonts w:ascii="Arial" w:hAnsi="Arial" w:cs="Arial"/>
          <w:sz w:val="20"/>
          <w:szCs w:val="20"/>
          <w:lang w:val="it-CH"/>
        </w:rPr>
        <w:t>3</w:t>
      </w:r>
    </w:p>
    <w:sectPr w:rsidR="00171FB7" w:rsidRPr="0095066B" w:rsidSect="00124226">
      <w:headerReference w:type="default" r:id="rId13"/>
      <w:footerReference w:type="default" r:id="rId14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43DD1" w14:textId="77777777" w:rsidR="00BF44CD" w:rsidRDefault="00BF44CD" w:rsidP="003314D7">
      <w:r>
        <w:separator/>
      </w:r>
    </w:p>
  </w:endnote>
  <w:endnote w:type="continuationSeparator" w:id="0">
    <w:p w14:paraId="03EA3BCA" w14:textId="77777777" w:rsidR="00BF44CD" w:rsidRDefault="00BF44CD" w:rsidP="0033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E7C4" w14:textId="6B7A1438" w:rsidR="00D30349" w:rsidRPr="00171801" w:rsidRDefault="003326A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fr-CH"/>
      </w:rPr>
    </w:pPr>
    <w:r w:rsidRPr="00171801">
      <w:rPr>
        <w:rFonts w:ascii="Arial" w:hAnsi="Arial" w:cs="Arial"/>
        <w:color w:val="000000"/>
        <w:sz w:val="14"/>
        <w:szCs w:val="14"/>
        <w:lang w:val="fr-CH"/>
      </w:rPr>
      <w:t>BOT</w:t>
    </w:r>
    <w:r w:rsidR="00E427EB" w:rsidRPr="00171801">
      <w:rPr>
        <w:rFonts w:ascii="Arial" w:hAnsi="Arial" w:cs="Arial"/>
        <w:color w:val="000000"/>
        <w:sz w:val="14"/>
        <w:szCs w:val="14"/>
        <w:lang w:val="fr-CH"/>
      </w:rPr>
      <w:t>OX_</w:t>
    </w:r>
    <w:r w:rsidR="00DB6BFC">
      <w:rPr>
        <w:rFonts w:ascii="Arial" w:hAnsi="Arial" w:cs="Arial"/>
        <w:color w:val="000000"/>
        <w:sz w:val="14"/>
        <w:szCs w:val="14"/>
        <w:lang w:val="fr-CH"/>
      </w:rPr>
      <w:t>AUG</w:t>
    </w:r>
    <w:r w:rsidR="00D95189">
      <w:rPr>
        <w:rFonts w:ascii="Arial" w:hAnsi="Arial" w:cs="Arial"/>
        <w:color w:val="000000"/>
        <w:sz w:val="14"/>
        <w:szCs w:val="14"/>
        <w:lang w:val="fr-CH"/>
      </w:rPr>
      <w:t>202</w:t>
    </w:r>
    <w:r w:rsidR="00562A2A">
      <w:rPr>
        <w:rFonts w:ascii="Arial" w:hAnsi="Arial" w:cs="Arial"/>
        <w:color w:val="000000"/>
        <w:sz w:val="14"/>
        <w:szCs w:val="14"/>
        <w:lang w:val="fr-CH"/>
      </w:rPr>
      <w:t>3</w:t>
    </w:r>
    <w:r w:rsidR="00E427EB" w:rsidRPr="00171801">
      <w:rPr>
        <w:rFonts w:ascii="Arial" w:hAnsi="Arial" w:cs="Arial"/>
        <w:color w:val="000000"/>
        <w:sz w:val="14"/>
        <w:szCs w:val="14"/>
        <w:lang w:val="fr-CH"/>
      </w:rPr>
      <w:t>_</w:t>
    </w:r>
    <w:r w:rsidR="00171801">
      <w:rPr>
        <w:rFonts w:ascii="Arial" w:hAnsi="Arial" w:cs="Arial"/>
        <w:color w:val="000000"/>
        <w:sz w:val="14"/>
        <w:szCs w:val="14"/>
        <w:lang w:val="fr-CH"/>
      </w:rPr>
      <w:t>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74BD3" w14:textId="77777777" w:rsidR="00BF44CD" w:rsidRDefault="00BF44CD" w:rsidP="003314D7">
      <w:r>
        <w:separator/>
      </w:r>
    </w:p>
  </w:footnote>
  <w:footnote w:type="continuationSeparator" w:id="0">
    <w:p w14:paraId="45023084" w14:textId="77777777" w:rsidR="00BF44CD" w:rsidRDefault="00BF44CD" w:rsidP="0033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E7C3" w14:textId="7F764EEA" w:rsidR="003314D7" w:rsidRDefault="001262E1" w:rsidP="001262E1">
    <w:pPr>
      <w:pStyle w:val="Header"/>
      <w:pBdr>
        <w:bottom w:val="thickThinSmallGap" w:sz="24" w:space="1" w:color="622423" w:themeColor="accent2" w:themeShade="7F"/>
      </w:pBdr>
      <w:jc w:val="center"/>
      <w:rPr>
        <w:rFonts w:eastAsiaTheme="majorEastAsia"/>
        <w:szCs w:val="32"/>
        <w:lang w:val="fr-CH"/>
      </w:rPr>
    </w:pPr>
    <w:r>
      <w:rPr>
        <w:rFonts w:eastAsiaTheme="majorEastAsia"/>
        <w:szCs w:val="32"/>
        <w:lang w:val="fr-CH"/>
      </w:rPr>
      <w:t xml:space="preserve">BOTOX Succinct </w:t>
    </w:r>
    <w:proofErr w:type="spellStart"/>
    <w:r>
      <w:rPr>
        <w:rFonts w:eastAsiaTheme="majorEastAsia"/>
        <w:szCs w:val="32"/>
        <w:lang w:val="fr-CH"/>
      </w:rPr>
      <w:t>Statement</w:t>
    </w:r>
    <w:proofErr w:type="spellEnd"/>
  </w:p>
  <w:p w14:paraId="78BE5167" w14:textId="6B145761" w:rsidR="001262E1" w:rsidRDefault="00171801" w:rsidP="001262E1">
    <w:pPr>
      <w:pStyle w:val="Header"/>
      <w:pBdr>
        <w:bottom w:val="thickThinSmallGap" w:sz="24" w:space="1" w:color="622423" w:themeColor="accent2" w:themeShade="7F"/>
      </w:pBdr>
      <w:jc w:val="center"/>
      <w:rPr>
        <w:rFonts w:eastAsiaTheme="majorEastAsia"/>
        <w:szCs w:val="32"/>
        <w:lang w:val="fr-CH"/>
      </w:rPr>
    </w:pPr>
    <w:r>
      <w:rPr>
        <w:rFonts w:eastAsiaTheme="majorEastAsia"/>
        <w:szCs w:val="32"/>
        <w:lang w:val="fr-CH"/>
      </w:rPr>
      <w:t>IT</w:t>
    </w:r>
  </w:p>
  <w:p w14:paraId="06C23632" w14:textId="77777777" w:rsidR="001262E1" w:rsidRPr="001262E1" w:rsidRDefault="001262E1" w:rsidP="001262E1">
    <w:pPr>
      <w:pStyle w:val="Header"/>
      <w:pBdr>
        <w:bottom w:val="thickThinSmallGap" w:sz="24" w:space="1" w:color="622423" w:themeColor="accent2" w:themeShade="7F"/>
      </w:pBdr>
      <w:jc w:val="center"/>
      <w:rPr>
        <w:rFonts w:eastAsiaTheme="majorEastAsia"/>
        <w:szCs w:val="3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B05C0"/>
    <w:multiLevelType w:val="hybridMultilevel"/>
    <w:tmpl w:val="67861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17666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23"/>
    <w:rsid w:val="00005001"/>
    <w:rsid w:val="000109C6"/>
    <w:rsid w:val="00016979"/>
    <w:rsid w:val="00024F2E"/>
    <w:rsid w:val="000572B2"/>
    <w:rsid w:val="00071961"/>
    <w:rsid w:val="00074EF5"/>
    <w:rsid w:val="00075C4F"/>
    <w:rsid w:val="00082ADF"/>
    <w:rsid w:val="000A252E"/>
    <w:rsid w:val="000C4131"/>
    <w:rsid w:val="000C6BB0"/>
    <w:rsid w:val="000E163D"/>
    <w:rsid w:val="00111490"/>
    <w:rsid w:val="00124226"/>
    <w:rsid w:val="001262E1"/>
    <w:rsid w:val="0012651C"/>
    <w:rsid w:val="00134A7D"/>
    <w:rsid w:val="0013593A"/>
    <w:rsid w:val="00146A21"/>
    <w:rsid w:val="00153D98"/>
    <w:rsid w:val="001558F6"/>
    <w:rsid w:val="00170F8D"/>
    <w:rsid w:val="00171801"/>
    <w:rsid w:val="00171FB7"/>
    <w:rsid w:val="001851CA"/>
    <w:rsid w:val="001C39AC"/>
    <w:rsid w:val="001C3B40"/>
    <w:rsid w:val="001C542F"/>
    <w:rsid w:val="001C6F3E"/>
    <w:rsid w:val="001E079A"/>
    <w:rsid w:val="001E1B41"/>
    <w:rsid w:val="001F2659"/>
    <w:rsid w:val="00207833"/>
    <w:rsid w:val="00210FC8"/>
    <w:rsid w:val="00225056"/>
    <w:rsid w:val="00226B1A"/>
    <w:rsid w:val="0023250A"/>
    <w:rsid w:val="002549AE"/>
    <w:rsid w:val="0025704B"/>
    <w:rsid w:val="00272B88"/>
    <w:rsid w:val="002851DA"/>
    <w:rsid w:val="002A5C6C"/>
    <w:rsid w:val="002B1258"/>
    <w:rsid w:val="002C0F45"/>
    <w:rsid w:val="002C47CA"/>
    <w:rsid w:val="002C71F4"/>
    <w:rsid w:val="002D4A8A"/>
    <w:rsid w:val="002E708A"/>
    <w:rsid w:val="002F00DC"/>
    <w:rsid w:val="003169A3"/>
    <w:rsid w:val="00330F04"/>
    <w:rsid w:val="003314D7"/>
    <w:rsid w:val="003326A3"/>
    <w:rsid w:val="00333C43"/>
    <w:rsid w:val="00337F96"/>
    <w:rsid w:val="00367FEC"/>
    <w:rsid w:val="0037263D"/>
    <w:rsid w:val="003765E4"/>
    <w:rsid w:val="003B5EBF"/>
    <w:rsid w:val="003B7325"/>
    <w:rsid w:val="003D5AF8"/>
    <w:rsid w:val="003F6D0F"/>
    <w:rsid w:val="0040215B"/>
    <w:rsid w:val="0042324B"/>
    <w:rsid w:val="00445AAD"/>
    <w:rsid w:val="004519CC"/>
    <w:rsid w:val="00463FAD"/>
    <w:rsid w:val="004758C4"/>
    <w:rsid w:val="004928B9"/>
    <w:rsid w:val="00494FF8"/>
    <w:rsid w:val="004B4E14"/>
    <w:rsid w:val="004C0B0F"/>
    <w:rsid w:val="004C6A35"/>
    <w:rsid w:val="004F3C86"/>
    <w:rsid w:val="004F57AD"/>
    <w:rsid w:val="00536F29"/>
    <w:rsid w:val="00545CF3"/>
    <w:rsid w:val="005509EA"/>
    <w:rsid w:val="00561888"/>
    <w:rsid w:val="00562A2A"/>
    <w:rsid w:val="00571CE2"/>
    <w:rsid w:val="00574A1D"/>
    <w:rsid w:val="00576EED"/>
    <w:rsid w:val="005908C0"/>
    <w:rsid w:val="0059126E"/>
    <w:rsid w:val="0059587C"/>
    <w:rsid w:val="005A3263"/>
    <w:rsid w:val="005B0D93"/>
    <w:rsid w:val="005B7D3B"/>
    <w:rsid w:val="005D4362"/>
    <w:rsid w:val="005D6F7A"/>
    <w:rsid w:val="00600602"/>
    <w:rsid w:val="006238FF"/>
    <w:rsid w:val="00623EAB"/>
    <w:rsid w:val="0062484B"/>
    <w:rsid w:val="00642EFD"/>
    <w:rsid w:val="00650DEF"/>
    <w:rsid w:val="00662310"/>
    <w:rsid w:val="0069279E"/>
    <w:rsid w:val="0069375B"/>
    <w:rsid w:val="00695C05"/>
    <w:rsid w:val="006A02D5"/>
    <w:rsid w:val="006A0B4C"/>
    <w:rsid w:val="006B0A69"/>
    <w:rsid w:val="006B4DEA"/>
    <w:rsid w:val="006C268C"/>
    <w:rsid w:val="006D4648"/>
    <w:rsid w:val="006E5CBA"/>
    <w:rsid w:val="006F4B38"/>
    <w:rsid w:val="006F75AC"/>
    <w:rsid w:val="006F798B"/>
    <w:rsid w:val="00701A6E"/>
    <w:rsid w:val="0070265E"/>
    <w:rsid w:val="00714523"/>
    <w:rsid w:val="0071472A"/>
    <w:rsid w:val="00716766"/>
    <w:rsid w:val="0072165E"/>
    <w:rsid w:val="00722758"/>
    <w:rsid w:val="007440A6"/>
    <w:rsid w:val="00751BCF"/>
    <w:rsid w:val="0075661B"/>
    <w:rsid w:val="00767A28"/>
    <w:rsid w:val="00774A12"/>
    <w:rsid w:val="007A0243"/>
    <w:rsid w:val="007A1F06"/>
    <w:rsid w:val="007A23EA"/>
    <w:rsid w:val="007A3921"/>
    <w:rsid w:val="007B77E5"/>
    <w:rsid w:val="007C0AA9"/>
    <w:rsid w:val="007C0B46"/>
    <w:rsid w:val="007C78CD"/>
    <w:rsid w:val="007D1271"/>
    <w:rsid w:val="007F4F5E"/>
    <w:rsid w:val="00817929"/>
    <w:rsid w:val="00823F4A"/>
    <w:rsid w:val="0083435D"/>
    <w:rsid w:val="00835126"/>
    <w:rsid w:val="008413D3"/>
    <w:rsid w:val="008460A5"/>
    <w:rsid w:val="00851A3E"/>
    <w:rsid w:val="00857333"/>
    <w:rsid w:val="00862D86"/>
    <w:rsid w:val="00871B30"/>
    <w:rsid w:val="00876CC9"/>
    <w:rsid w:val="00881FF1"/>
    <w:rsid w:val="00885F22"/>
    <w:rsid w:val="008956FC"/>
    <w:rsid w:val="008A034F"/>
    <w:rsid w:val="008A6867"/>
    <w:rsid w:val="008C1B63"/>
    <w:rsid w:val="008E26D6"/>
    <w:rsid w:val="008E318C"/>
    <w:rsid w:val="00903760"/>
    <w:rsid w:val="00906FD6"/>
    <w:rsid w:val="009148DC"/>
    <w:rsid w:val="00914CFC"/>
    <w:rsid w:val="00932FFA"/>
    <w:rsid w:val="00946686"/>
    <w:rsid w:val="00946A07"/>
    <w:rsid w:val="00950006"/>
    <w:rsid w:val="0095066B"/>
    <w:rsid w:val="0095180C"/>
    <w:rsid w:val="00952C7D"/>
    <w:rsid w:val="0095662A"/>
    <w:rsid w:val="00964708"/>
    <w:rsid w:val="00965FFB"/>
    <w:rsid w:val="00975415"/>
    <w:rsid w:val="009768C1"/>
    <w:rsid w:val="00980190"/>
    <w:rsid w:val="00985F76"/>
    <w:rsid w:val="0099586B"/>
    <w:rsid w:val="009B16F9"/>
    <w:rsid w:val="009B351A"/>
    <w:rsid w:val="009C7928"/>
    <w:rsid w:val="009D1CAC"/>
    <w:rsid w:val="009D4277"/>
    <w:rsid w:val="009D4E1C"/>
    <w:rsid w:val="009E104B"/>
    <w:rsid w:val="009E16D2"/>
    <w:rsid w:val="009E3BE5"/>
    <w:rsid w:val="009F080A"/>
    <w:rsid w:val="00A012A8"/>
    <w:rsid w:val="00A07153"/>
    <w:rsid w:val="00A136FF"/>
    <w:rsid w:val="00A264FE"/>
    <w:rsid w:val="00A316C0"/>
    <w:rsid w:val="00A3460B"/>
    <w:rsid w:val="00A44D15"/>
    <w:rsid w:val="00A530F5"/>
    <w:rsid w:val="00A721E6"/>
    <w:rsid w:val="00A741BB"/>
    <w:rsid w:val="00A820A2"/>
    <w:rsid w:val="00A8329A"/>
    <w:rsid w:val="00A85F31"/>
    <w:rsid w:val="00A90F54"/>
    <w:rsid w:val="00A914FF"/>
    <w:rsid w:val="00AD2E94"/>
    <w:rsid w:val="00AF6EEF"/>
    <w:rsid w:val="00B025EE"/>
    <w:rsid w:val="00B07609"/>
    <w:rsid w:val="00B174B5"/>
    <w:rsid w:val="00B24E8D"/>
    <w:rsid w:val="00B46034"/>
    <w:rsid w:val="00B46541"/>
    <w:rsid w:val="00B74F5F"/>
    <w:rsid w:val="00B8213A"/>
    <w:rsid w:val="00BB1A5C"/>
    <w:rsid w:val="00BC51F3"/>
    <w:rsid w:val="00BC75A8"/>
    <w:rsid w:val="00BD2777"/>
    <w:rsid w:val="00BE32F6"/>
    <w:rsid w:val="00BE526B"/>
    <w:rsid w:val="00BF2776"/>
    <w:rsid w:val="00BF44CD"/>
    <w:rsid w:val="00C12181"/>
    <w:rsid w:val="00C12F56"/>
    <w:rsid w:val="00C40DF4"/>
    <w:rsid w:val="00C46871"/>
    <w:rsid w:val="00C52422"/>
    <w:rsid w:val="00C5597B"/>
    <w:rsid w:val="00C56331"/>
    <w:rsid w:val="00C718AA"/>
    <w:rsid w:val="00C74D8F"/>
    <w:rsid w:val="00C81668"/>
    <w:rsid w:val="00C87AC5"/>
    <w:rsid w:val="00C95F1C"/>
    <w:rsid w:val="00CA30CD"/>
    <w:rsid w:val="00CA5B85"/>
    <w:rsid w:val="00CB32CC"/>
    <w:rsid w:val="00CB572F"/>
    <w:rsid w:val="00CB5907"/>
    <w:rsid w:val="00CB69B1"/>
    <w:rsid w:val="00CC1E7F"/>
    <w:rsid w:val="00CE2FF6"/>
    <w:rsid w:val="00CF207F"/>
    <w:rsid w:val="00D07095"/>
    <w:rsid w:val="00D30349"/>
    <w:rsid w:val="00D32E31"/>
    <w:rsid w:val="00D43E3C"/>
    <w:rsid w:val="00D463EB"/>
    <w:rsid w:val="00D60B77"/>
    <w:rsid w:val="00D62E8A"/>
    <w:rsid w:val="00D95189"/>
    <w:rsid w:val="00D97846"/>
    <w:rsid w:val="00DA08E3"/>
    <w:rsid w:val="00DA69C7"/>
    <w:rsid w:val="00DB6BFC"/>
    <w:rsid w:val="00DC1669"/>
    <w:rsid w:val="00DC280B"/>
    <w:rsid w:val="00DD3788"/>
    <w:rsid w:val="00DD5500"/>
    <w:rsid w:val="00DE123A"/>
    <w:rsid w:val="00DF28A5"/>
    <w:rsid w:val="00DF6784"/>
    <w:rsid w:val="00E13409"/>
    <w:rsid w:val="00E2343D"/>
    <w:rsid w:val="00E427EB"/>
    <w:rsid w:val="00E82262"/>
    <w:rsid w:val="00E8576E"/>
    <w:rsid w:val="00E85BE7"/>
    <w:rsid w:val="00E93FA1"/>
    <w:rsid w:val="00E97558"/>
    <w:rsid w:val="00EB02CB"/>
    <w:rsid w:val="00EB19E0"/>
    <w:rsid w:val="00EB5A72"/>
    <w:rsid w:val="00F03A28"/>
    <w:rsid w:val="00F068B4"/>
    <w:rsid w:val="00F10C8F"/>
    <w:rsid w:val="00F23608"/>
    <w:rsid w:val="00F676E0"/>
    <w:rsid w:val="00F67786"/>
    <w:rsid w:val="00F67953"/>
    <w:rsid w:val="00F72C26"/>
    <w:rsid w:val="00F849C0"/>
    <w:rsid w:val="00F95BA4"/>
    <w:rsid w:val="00F964D1"/>
    <w:rsid w:val="00FB2341"/>
    <w:rsid w:val="00FC1EFB"/>
    <w:rsid w:val="00FC730D"/>
    <w:rsid w:val="00FD73AF"/>
    <w:rsid w:val="00FE0BE6"/>
    <w:rsid w:val="00FF25E7"/>
    <w:rsid w:val="00FF46F9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E4FE7B0"/>
  <w15:docId w15:val="{F2A5A8B9-77A5-4803-B4CC-C5670FED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597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C5597B"/>
    <w:pPr>
      <w:keepNext/>
      <w:outlineLvl w:val="0"/>
    </w:pPr>
    <w:rPr>
      <w:i/>
      <w:iCs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597B"/>
    <w:pPr>
      <w:jc w:val="both"/>
    </w:pPr>
    <w:rPr>
      <w:b/>
      <w:bCs/>
      <w:lang w:val="de-CH"/>
    </w:rPr>
  </w:style>
  <w:style w:type="paragraph" w:styleId="Header">
    <w:name w:val="header"/>
    <w:basedOn w:val="Normal"/>
    <w:link w:val="HeaderChar"/>
    <w:uiPriority w:val="99"/>
    <w:rsid w:val="003314D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4D7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3314D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4D7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3314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14D7"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basedOn w:val="DefaultParagraphFont"/>
    <w:link w:val="BodyText"/>
    <w:rsid w:val="00124226"/>
    <w:rPr>
      <w:b/>
      <w:bCs/>
      <w:sz w:val="24"/>
      <w:szCs w:val="24"/>
      <w:lang w:val="de-CH"/>
    </w:rPr>
  </w:style>
  <w:style w:type="character" w:styleId="Hyperlink">
    <w:name w:val="Hyperlink"/>
    <w:basedOn w:val="DefaultParagraphFont"/>
    <w:uiPriority w:val="99"/>
    <w:unhideWhenUsed/>
    <w:rsid w:val="001265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wissmedicinfo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2012-10-03T00:00:00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EF5F284627F44851DD9AB9D23ED3D" ma:contentTypeVersion="14" ma:contentTypeDescription="Create a new document." ma:contentTypeScope="" ma:versionID="13eac1e9918188fea14f25b437468917">
  <xsd:schema xmlns:xsd="http://www.w3.org/2001/XMLSchema" xmlns:xs="http://www.w3.org/2001/XMLSchema" xmlns:p="http://schemas.microsoft.com/office/2006/metadata/properties" xmlns:ns2="f32f38f4-f640-499f-a6c5-41bfa3484e7c" xmlns:ns3="1d90194e-75d1-41a4-acda-160053378fe9" targetNamespace="http://schemas.microsoft.com/office/2006/metadata/properties" ma:root="true" ma:fieldsID="e882478cd4e475950ce22c11537bd3a9" ns2:_="" ns3:_="">
    <xsd:import namespace="f32f38f4-f640-499f-a6c5-41bfa3484e7c"/>
    <xsd:import namespace="1d90194e-75d1-41a4-acda-160053378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f38f4-f640-499f-a6c5-41bfa3484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194e-75d1-41a4-acda-160053378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7d8066-5584-4ca5-a03e-5244adb459ea}" ma:internalName="TaxCatchAll" ma:showField="CatchAllData" ma:web="1d90194e-75d1-41a4-acda-160053378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lcf76f155ced4ddcb4097134ff3c332f xmlns="f32f38f4-f640-499f-a6c5-41bfa3484e7c">
      <Terms xmlns="http://schemas.microsoft.com/office/infopath/2007/PartnerControls"/>
    </lcf76f155ced4ddcb4097134ff3c332f>
    <TaxCatchAll xmlns="1d90194e-75d1-41a4-acda-160053378fe9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927053-6307-46C3-8552-17F7AC7B4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9E912-B2F6-4D89-B3F4-1FB227421C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EDF11D-26EE-4494-90E7-BFA7E5EE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f38f4-f640-499f-a6c5-41bfa3484e7c"/>
    <ds:schemaRef ds:uri="1d90194e-75d1-41a4-acda-160053378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AAB66B-9967-4A05-B9A3-46F14414AD39}">
  <ds:schemaRefs>
    <ds:schemaRef ds:uri="http://schemas.microsoft.com/office/2006/metadata/properties"/>
    <ds:schemaRef ds:uri="49b66409-db1a-47bd-94aa-33a2cec45800"/>
    <ds:schemaRef ds:uri="1382f381-3ad7-4bd1-b2df-3ae56d5707db"/>
    <ds:schemaRef ds:uri="http://schemas.microsoft.com/office/infopath/2007/PartnerControls"/>
    <ds:schemaRef ds:uri="f32f38f4-f640-499f-a6c5-41bfa3484e7c"/>
    <ds:schemaRef ds:uri="1d90194e-75d1-41a4-acda-160053378f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3413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 – FR - EN</vt:lpstr>
      <vt:lpstr>DE – FR - EN</vt:lpstr>
    </vt:vector>
  </TitlesOfParts>
  <Company>Allergan AB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– FR - EN</dc:title>
  <dc:creator>PFC</dc:creator>
  <cp:lastModifiedBy>Voigt, Katrin-Caroline</cp:lastModifiedBy>
  <cp:revision>2</cp:revision>
  <cp:lastPrinted>2017-07-26T11:17:00Z</cp:lastPrinted>
  <dcterms:created xsi:type="dcterms:W3CDTF">2023-09-13T14:07:00Z</dcterms:created>
  <dcterms:modified xsi:type="dcterms:W3CDTF">2023-09-13T14:07:00Z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0x0101000BDEF5F284627F44851DD9AB9D23ED3D</vt:lpwstr>
  </property>
  <property fmtid="{D5CDD505-2E9C-101B-9397-08002B2CF9AE}" pid="3" name="Order">
    <vt:r8>41930000</vt:r8>
  </property>
  <property fmtid="{D5CDD505-2E9C-101B-9397-08002B2CF9AE}" pid="4" name="MediaServiceImageTags">
    <vt:lpwstr/>
  </property>
</Properties>
</file>