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E7B5" w14:textId="1D32FEE6" w:rsidR="00124226" w:rsidRPr="00E86DDB" w:rsidRDefault="00124226" w:rsidP="001262E1">
      <w:pPr>
        <w:spacing w:line="276" w:lineRule="auto"/>
        <w:jc w:val="both"/>
        <w:rPr>
          <w:rFonts w:ascii="Arial" w:hAnsi="Arial" w:cs="Arial"/>
          <w:sz w:val="18"/>
          <w:szCs w:val="18"/>
          <w:lang w:val="de-CH" w:eastAsia="de-CH"/>
        </w:rPr>
      </w:pPr>
    </w:p>
    <w:p w14:paraId="7DEE9082" w14:textId="203376A1" w:rsidR="00337F96" w:rsidRPr="00E86DDB" w:rsidRDefault="00693A07" w:rsidP="00337F96">
      <w:pPr>
        <w:autoSpaceDE w:val="0"/>
        <w:autoSpaceDN w:val="0"/>
        <w:adjustRightInd w:val="0"/>
        <w:snapToGrid w:val="0"/>
        <w:rPr>
          <w:rFonts w:ascii="Arial" w:hAnsi="Arial" w:cs="Arial"/>
          <w:b/>
          <w:sz w:val="18"/>
          <w:szCs w:val="18"/>
          <w:highlight w:val="lightGray"/>
          <w:lang w:val="fr-CH" w:eastAsia="de-CH"/>
        </w:rPr>
      </w:pPr>
      <w:r w:rsidRPr="00E86DDB">
        <w:rPr>
          <w:rFonts w:ascii="Arial" w:hAnsi="Arial" w:cs="Arial"/>
          <w:b/>
          <w:bCs/>
          <w:sz w:val="18"/>
          <w:szCs w:val="18"/>
          <w:highlight w:val="lightGray"/>
          <w:lang w:val="fr-CH"/>
        </w:rPr>
        <w:t xml:space="preserve">Information professionnelle abrégée </w:t>
      </w:r>
      <w:r w:rsidR="00B07609" w:rsidRPr="00E86DDB">
        <w:rPr>
          <w:rFonts w:ascii="Arial" w:hAnsi="Arial" w:cs="Arial"/>
          <w:bCs/>
          <w:sz w:val="18"/>
          <w:szCs w:val="18"/>
          <w:highlight w:val="lightGray"/>
          <w:lang w:val="fr-CH" w:eastAsia="de-CH"/>
        </w:rPr>
        <w:t>BOTOX</w:t>
      </w:r>
      <w:r w:rsidR="00337F96" w:rsidRPr="00E86DDB">
        <w:rPr>
          <w:rFonts w:ascii="Arial" w:hAnsi="Arial" w:cs="Arial"/>
          <w:bCs/>
          <w:sz w:val="18"/>
          <w:szCs w:val="18"/>
          <w:highlight w:val="lightGray"/>
          <w:vertAlign w:val="superscript"/>
          <w:lang w:val="fr-CH" w:eastAsia="de-CH"/>
        </w:rPr>
        <w:t>®</w:t>
      </w:r>
      <w:r w:rsidR="00337F96" w:rsidRPr="00E86DDB">
        <w:rPr>
          <w:rFonts w:ascii="Arial" w:hAnsi="Arial" w:cs="Arial"/>
          <w:bCs/>
          <w:sz w:val="18"/>
          <w:szCs w:val="18"/>
          <w:highlight w:val="lightGray"/>
          <w:lang w:val="fr-CH" w:eastAsia="de-CH"/>
        </w:rPr>
        <w:t xml:space="preserve"> (</w:t>
      </w:r>
      <w:r w:rsidRPr="00E86DDB">
        <w:rPr>
          <w:rFonts w:ascii="Arial" w:hAnsi="Arial" w:cs="Arial"/>
          <w:sz w:val="18"/>
          <w:szCs w:val="18"/>
          <w:highlight w:val="lightGray"/>
          <w:lang w:val="fr-FR"/>
        </w:rPr>
        <w:t>Toxine botulique A</w:t>
      </w:r>
      <w:r w:rsidR="00337F96" w:rsidRPr="00E86DDB">
        <w:rPr>
          <w:rFonts w:ascii="Arial" w:hAnsi="Arial" w:cs="Arial"/>
          <w:bCs/>
          <w:sz w:val="18"/>
          <w:szCs w:val="18"/>
          <w:highlight w:val="lightGray"/>
          <w:lang w:val="fr-CH" w:eastAsia="de-CH"/>
        </w:rPr>
        <w:t>)</w:t>
      </w:r>
      <w:r w:rsidR="00B07609" w:rsidRPr="00E86DDB">
        <w:rPr>
          <w:rFonts w:ascii="Arial" w:hAnsi="Arial" w:cs="Arial"/>
          <w:bCs/>
          <w:sz w:val="18"/>
          <w:szCs w:val="18"/>
          <w:highlight w:val="lightGray"/>
          <w:lang w:val="fr-CH" w:eastAsia="de-CH"/>
        </w:rPr>
        <w:t xml:space="preserve"> </w:t>
      </w:r>
      <w:r w:rsidR="00FF7A07" w:rsidRPr="00E86DDB">
        <w:rPr>
          <w:rFonts w:ascii="Arial" w:hAnsi="Arial" w:cs="Arial"/>
          <w:bCs/>
          <w:sz w:val="18"/>
          <w:szCs w:val="18"/>
          <w:highlight w:val="lightGray"/>
          <w:lang w:val="fr-CH" w:eastAsia="de-CH"/>
        </w:rPr>
        <w:t xml:space="preserve">50 et </w:t>
      </w:r>
      <w:r w:rsidR="00B07609" w:rsidRPr="00E86DDB">
        <w:rPr>
          <w:rFonts w:ascii="Arial" w:hAnsi="Arial" w:cs="Arial"/>
          <w:bCs/>
          <w:sz w:val="18"/>
          <w:szCs w:val="18"/>
          <w:highlight w:val="lightGray"/>
          <w:lang w:val="fr-CH" w:eastAsia="de-CH"/>
        </w:rPr>
        <w:t xml:space="preserve">100 </w:t>
      </w:r>
      <w:r w:rsidRPr="00E86DDB">
        <w:rPr>
          <w:rFonts w:ascii="Arial" w:hAnsi="Arial" w:cs="Arial"/>
          <w:sz w:val="18"/>
          <w:szCs w:val="18"/>
          <w:highlight w:val="lightGray"/>
          <w:lang w:val="fr-FR"/>
        </w:rPr>
        <w:t>unités Allergan</w:t>
      </w:r>
    </w:p>
    <w:p w14:paraId="20B045D3" w14:textId="257372F1" w:rsidR="00576EED" w:rsidRPr="00E86DDB" w:rsidRDefault="00576EED" w:rsidP="001262E1">
      <w:pPr>
        <w:autoSpaceDE w:val="0"/>
        <w:autoSpaceDN w:val="0"/>
        <w:adjustRightInd w:val="0"/>
        <w:spacing w:line="276" w:lineRule="auto"/>
        <w:jc w:val="both"/>
        <w:rPr>
          <w:rFonts w:ascii="Arial" w:hAnsi="Arial" w:cs="Arial"/>
          <w:b/>
          <w:bCs/>
          <w:sz w:val="18"/>
          <w:szCs w:val="18"/>
          <w:lang w:val="fr-CH"/>
        </w:rPr>
      </w:pPr>
    </w:p>
    <w:p w14:paraId="417F1448" w14:textId="77777777" w:rsidR="00576EED" w:rsidRPr="00E86DDB" w:rsidRDefault="00576EED" w:rsidP="001262E1">
      <w:pPr>
        <w:autoSpaceDE w:val="0"/>
        <w:autoSpaceDN w:val="0"/>
        <w:adjustRightInd w:val="0"/>
        <w:spacing w:line="276" w:lineRule="auto"/>
        <w:jc w:val="both"/>
        <w:rPr>
          <w:rFonts w:ascii="Arial" w:hAnsi="Arial" w:cs="Arial"/>
          <w:b/>
          <w:bCs/>
          <w:sz w:val="18"/>
          <w:szCs w:val="18"/>
          <w:lang w:val="fr-CH"/>
        </w:rPr>
      </w:pPr>
    </w:p>
    <w:p w14:paraId="0EAD8C9C" w14:textId="54CEDB1B" w:rsidR="00171801" w:rsidRPr="0027774F" w:rsidRDefault="002549AE" w:rsidP="0027774F">
      <w:pPr>
        <w:autoSpaceDE w:val="0"/>
        <w:autoSpaceDN w:val="0"/>
        <w:adjustRightInd w:val="0"/>
        <w:snapToGrid w:val="0"/>
        <w:spacing w:line="276" w:lineRule="auto"/>
        <w:jc w:val="both"/>
        <w:rPr>
          <w:rFonts w:ascii="Arial" w:hAnsi="Arial" w:cs="Arial"/>
          <w:sz w:val="18"/>
          <w:szCs w:val="18"/>
          <w:lang w:val="fr-FR"/>
        </w:rPr>
      </w:pPr>
      <w:bookmarkStart w:id="0" w:name="_Hlk31813820"/>
      <w:proofErr w:type="gramStart"/>
      <w:r w:rsidRPr="0027774F">
        <w:rPr>
          <w:rFonts w:ascii="Arial" w:hAnsi="Arial" w:cs="Arial"/>
          <w:b/>
          <w:sz w:val="18"/>
          <w:szCs w:val="18"/>
          <w:lang w:val="fr-FR"/>
        </w:rPr>
        <w:t>I</w:t>
      </w:r>
      <w:bookmarkEnd w:id="0"/>
      <w:r w:rsidRPr="0027774F">
        <w:rPr>
          <w:rFonts w:ascii="Arial" w:hAnsi="Arial" w:cs="Arial"/>
          <w:b/>
          <w:sz w:val="18"/>
          <w:szCs w:val="18"/>
          <w:lang w:val="fr-FR"/>
        </w:rPr>
        <w:t>:</w:t>
      </w:r>
      <w:proofErr w:type="gramEnd"/>
      <w:r w:rsidRPr="0027774F">
        <w:rPr>
          <w:rFonts w:ascii="Arial" w:hAnsi="Arial" w:cs="Arial"/>
          <w:bCs/>
          <w:sz w:val="18"/>
          <w:szCs w:val="18"/>
          <w:lang w:val="fr-FR"/>
        </w:rPr>
        <w:t xml:space="preserve"> </w:t>
      </w:r>
      <w:bookmarkStart w:id="1" w:name="_Hlk31813829"/>
      <w:r w:rsidR="003319D8" w:rsidRPr="0027774F">
        <w:rPr>
          <w:rFonts w:ascii="Arial" w:hAnsi="Arial" w:cs="Arial"/>
          <w:bCs/>
          <w:sz w:val="18"/>
          <w:szCs w:val="18"/>
          <w:lang w:val="fr-FR"/>
        </w:rPr>
        <w:t>Neurologie : Traitement symptomatique du blépharospasme, de l’</w:t>
      </w:r>
      <w:proofErr w:type="spellStart"/>
      <w:r w:rsidR="003319D8" w:rsidRPr="0027774F">
        <w:rPr>
          <w:rFonts w:ascii="Arial" w:hAnsi="Arial" w:cs="Arial"/>
          <w:bCs/>
          <w:sz w:val="18"/>
          <w:szCs w:val="18"/>
          <w:lang w:val="fr-FR"/>
        </w:rPr>
        <w:t>hémispasme</w:t>
      </w:r>
      <w:proofErr w:type="spellEnd"/>
      <w:r w:rsidR="003319D8" w:rsidRPr="0027774F">
        <w:rPr>
          <w:rFonts w:ascii="Arial" w:hAnsi="Arial" w:cs="Arial"/>
          <w:bCs/>
          <w:sz w:val="18"/>
          <w:szCs w:val="18"/>
          <w:lang w:val="fr-FR"/>
        </w:rPr>
        <w:t xml:space="preserve"> facial et des dystonies focales</w:t>
      </w:r>
      <w:r w:rsidR="0027774F">
        <w:rPr>
          <w:rFonts w:ascii="Arial" w:hAnsi="Arial" w:cs="Arial"/>
          <w:bCs/>
          <w:sz w:val="18"/>
          <w:szCs w:val="18"/>
          <w:lang w:val="fr-FR"/>
        </w:rPr>
        <w:t xml:space="preserve"> </w:t>
      </w:r>
      <w:r w:rsidR="003319D8" w:rsidRPr="0027774F">
        <w:rPr>
          <w:rFonts w:ascii="Arial" w:hAnsi="Arial" w:cs="Arial"/>
          <w:bCs/>
          <w:sz w:val="18"/>
          <w:szCs w:val="18"/>
          <w:lang w:val="fr-FR"/>
        </w:rPr>
        <w:t>associées ainsi que correction du strabisme chez les patients &gt; 12 ans, de la dystonie cervicale (torticolis</w:t>
      </w:r>
      <w:r w:rsidR="0027774F">
        <w:rPr>
          <w:rFonts w:ascii="Arial" w:hAnsi="Arial" w:cs="Arial"/>
          <w:bCs/>
          <w:sz w:val="18"/>
          <w:szCs w:val="18"/>
          <w:lang w:val="fr-FR"/>
        </w:rPr>
        <w:t xml:space="preserve"> </w:t>
      </w:r>
      <w:r w:rsidR="003319D8" w:rsidRPr="0027774F">
        <w:rPr>
          <w:rFonts w:ascii="Arial" w:hAnsi="Arial" w:cs="Arial"/>
          <w:bCs/>
          <w:sz w:val="18"/>
          <w:szCs w:val="18"/>
          <w:lang w:val="fr-FR"/>
        </w:rPr>
        <w:t>spasmodique) chez l’adulte, traitement symptomatique de la spasticité focale des membres supérieurs et inférieurs</w:t>
      </w:r>
      <w:r w:rsidR="0027774F">
        <w:rPr>
          <w:rFonts w:ascii="Arial" w:hAnsi="Arial" w:cs="Arial"/>
          <w:bCs/>
          <w:sz w:val="18"/>
          <w:szCs w:val="18"/>
          <w:lang w:val="fr-FR"/>
        </w:rPr>
        <w:t xml:space="preserve"> </w:t>
      </w:r>
      <w:r w:rsidR="003319D8" w:rsidRPr="0027774F">
        <w:rPr>
          <w:rFonts w:ascii="Arial" w:hAnsi="Arial" w:cs="Arial"/>
          <w:bCs/>
          <w:sz w:val="18"/>
          <w:szCs w:val="18"/>
          <w:lang w:val="fr-FR"/>
        </w:rPr>
        <w:t>chez l’adulte, les adolescents et les enfants à partir de 2 ans. Prophylaxie des céphalées chez les patients adultes</w:t>
      </w:r>
      <w:r w:rsidR="0027774F">
        <w:rPr>
          <w:rFonts w:ascii="Arial" w:hAnsi="Arial" w:cs="Arial"/>
          <w:bCs/>
          <w:sz w:val="18"/>
          <w:szCs w:val="18"/>
          <w:lang w:val="fr-FR"/>
        </w:rPr>
        <w:t xml:space="preserve"> </w:t>
      </w:r>
      <w:r w:rsidR="003319D8" w:rsidRPr="0027774F">
        <w:rPr>
          <w:rFonts w:ascii="Arial" w:hAnsi="Arial" w:cs="Arial"/>
          <w:bCs/>
          <w:sz w:val="18"/>
          <w:szCs w:val="18"/>
          <w:lang w:val="fr-FR"/>
        </w:rPr>
        <w:t>souffrant de migraine chronique. Peau : Hyperhidrose axillaire primaire chez l’adulte. Vessie : Vessie hyperactive</w:t>
      </w:r>
      <w:r w:rsidR="0027774F">
        <w:rPr>
          <w:rFonts w:ascii="Arial" w:hAnsi="Arial" w:cs="Arial"/>
          <w:bCs/>
          <w:sz w:val="18"/>
          <w:szCs w:val="18"/>
          <w:lang w:val="fr-FR"/>
        </w:rPr>
        <w:t xml:space="preserve"> </w:t>
      </w:r>
      <w:r w:rsidR="003319D8" w:rsidRPr="0027774F">
        <w:rPr>
          <w:rFonts w:ascii="Arial" w:hAnsi="Arial" w:cs="Arial"/>
          <w:bCs/>
          <w:sz w:val="18"/>
          <w:szCs w:val="18"/>
          <w:lang w:val="fr-FR"/>
        </w:rPr>
        <w:t>accompagnée des symptômes incontinence urinaire, mictions impérieuses et mictions fréquentes, chez le patient</w:t>
      </w:r>
      <w:r w:rsidR="0027774F">
        <w:rPr>
          <w:rFonts w:ascii="Arial" w:hAnsi="Arial" w:cs="Arial"/>
          <w:bCs/>
          <w:sz w:val="18"/>
          <w:szCs w:val="18"/>
          <w:lang w:val="fr-FR"/>
        </w:rPr>
        <w:t xml:space="preserve"> </w:t>
      </w:r>
      <w:r w:rsidR="003319D8" w:rsidRPr="0027774F">
        <w:rPr>
          <w:rFonts w:ascii="Arial" w:hAnsi="Arial" w:cs="Arial"/>
          <w:bCs/>
          <w:sz w:val="18"/>
          <w:szCs w:val="18"/>
          <w:lang w:val="fr-FR"/>
        </w:rPr>
        <w:t>adulte qui ne répond pas suffisamment aux anticholinergiques ou qui présente une intolérance à ces médicaments.</w:t>
      </w:r>
      <w:r w:rsidR="0027774F">
        <w:rPr>
          <w:rFonts w:ascii="Arial" w:hAnsi="Arial" w:cs="Arial"/>
          <w:bCs/>
          <w:sz w:val="18"/>
          <w:szCs w:val="18"/>
          <w:lang w:val="fr-FR"/>
        </w:rPr>
        <w:t xml:space="preserve"> </w:t>
      </w:r>
      <w:r w:rsidR="003319D8" w:rsidRPr="0027774F">
        <w:rPr>
          <w:rFonts w:ascii="Arial" w:hAnsi="Arial" w:cs="Arial"/>
          <w:bCs/>
          <w:sz w:val="18"/>
          <w:szCs w:val="18"/>
          <w:lang w:val="fr-FR"/>
        </w:rPr>
        <w:t>Incontinence urinaire causée par l’hyperactivité neurogène du détrusor (</w:t>
      </w:r>
      <w:proofErr w:type="spellStart"/>
      <w:r w:rsidR="003319D8" w:rsidRPr="0027774F">
        <w:rPr>
          <w:rFonts w:ascii="Arial" w:hAnsi="Arial" w:cs="Arial"/>
          <w:bCs/>
          <w:sz w:val="18"/>
          <w:szCs w:val="18"/>
          <w:lang w:val="fr-FR"/>
        </w:rPr>
        <w:t>Neurogenic</w:t>
      </w:r>
      <w:proofErr w:type="spellEnd"/>
      <w:r w:rsidR="003319D8" w:rsidRPr="0027774F">
        <w:rPr>
          <w:rFonts w:ascii="Arial" w:hAnsi="Arial" w:cs="Arial"/>
          <w:bCs/>
          <w:sz w:val="18"/>
          <w:szCs w:val="18"/>
          <w:lang w:val="fr-FR"/>
        </w:rPr>
        <w:t xml:space="preserve"> </w:t>
      </w:r>
      <w:proofErr w:type="spellStart"/>
      <w:r w:rsidR="003319D8" w:rsidRPr="0027774F">
        <w:rPr>
          <w:rFonts w:ascii="Arial" w:hAnsi="Arial" w:cs="Arial"/>
          <w:bCs/>
          <w:sz w:val="18"/>
          <w:szCs w:val="18"/>
          <w:lang w:val="fr-FR"/>
        </w:rPr>
        <w:t>Detrusor</w:t>
      </w:r>
      <w:proofErr w:type="spellEnd"/>
      <w:r w:rsidR="003319D8" w:rsidRPr="0027774F">
        <w:rPr>
          <w:rFonts w:ascii="Arial" w:hAnsi="Arial" w:cs="Arial"/>
          <w:bCs/>
          <w:sz w:val="18"/>
          <w:szCs w:val="18"/>
          <w:lang w:val="fr-FR"/>
        </w:rPr>
        <w:t xml:space="preserve"> </w:t>
      </w:r>
      <w:proofErr w:type="spellStart"/>
      <w:r w:rsidR="003319D8" w:rsidRPr="0027774F">
        <w:rPr>
          <w:rFonts w:ascii="Arial" w:hAnsi="Arial" w:cs="Arial"/>
          <w:bCs/>
          <w:sz w:val="18"/>
          <w:szCs w:val="18"/>
          <w:lang w:val="fr-FR"/>
        </w:rPr>
        <w:t>Overactivity</w:t>
      </w:r>
      <w:proofErr w:type="spellEnd"/>
      <w:r w:rsidR="003319D8" w:rsidRPr="0027774F">
        <w:rPr>
          <w:rFonts w:ascii="Arial" w:hAnsi="Arial" w:cs="Arial"/>
          <w:bCs/>
          <w:sz w:val="18"/>
          <w:szCs w:val="18"/>
          <w:lang w:val="fr-FR"/>
        </w:rPr>
        <w:t xml:space="preserve"> (NDO))</w:t>
      </w:r>
      <w:r w:rsidR="0027774F">
        <w:rPr>
          <w:rFonts w:ascii="Arial" w:hAnsi="Arial" w:cs="Arial"/>
          <w:bCs/>
          <w:sz w:val="18"/>
          <w:szCs w:val="18"/>
          <w:lang w:val="fr-FR"/>
        </w:rPr>
        <w:t xml:space="preserve"> </w:t>
      </w:r>
      <w:r w:rsidR="003319D8" w:rsidRPr="0027774F">
        <w:rPr>
          <w:rFonts w:ascii="Arial" w:hAnsi="Arial" w:cs="Arial"/>
          <w:bCs/>
          <w:sz w:val="18"/>
          <w:szCs w:val="18"/>
          <w:lang w:val="fr-FR"/>
        </w:rPr>
        <w:t>associée à une affection neurologique (p.ex. lésion médullaire, sclérose en plaques) chez l’adulte. Traitement de</w:t>
      </w:r>
      <w:r w:rsidR="0027774F">
        <w:rPr>
          <w:rFonts w:ascii="Arial" w:hAnsi="Arial" w:cs="Arial"/>
          <w:bCs/>
          <w:sz w:val="18"/>
          <w:szCs w:val="18"/>
          <w:lang w:val="fr-FR"/>
        </w:rPr>
        <w:t xml:space="preserve"> </w:t>
      </w:r>
      <w:r w:rsidR="003319D8" w:rsidRPr="0027774F">
        <w:rPr>
          <w:rFonts w:ascii="Arial" w:hAnsi="Arial" w:cs="Arial"/>
          <w:bCs/>
          <w:sz w:val="18"/>
          <w:szCs w:val="18"/>
          <w:lang w:val="fr-FR"/>
        </w:rPr>
        <w:t>l’hyperactivité neurogène du détrusor associée à une affection neurologique (comme p. ex. le spina bifida, une lésion</w:t>
      </w:r>
      <w:r w:rsidR="0027774F">
        <w:rPr>
          <w:rFonts w:ascii="Arial" w:hAnsi="Arial" w:cs="Arial"/>
          <w:bCs/>
          <w:sz w:val="18"/>
          <w:szCs w:val="18"/>
          <w:lang w:val="fr-FR"/>
        </w:rPr>
        <w:t xml:space="preserve"> </w:t>
      </w:r>
      <w:r w:rsidR="003319D8" w:rsidRPr="0027774F">
        <w:rPr>
          <w:rFonts w:ascii="Arial" w:hAnsi="Arial" w:cs="Arial"/>
          <w:bCs/>
          <w:sz w:val="18"/>
          <w:szCs w:val="18"/>
          <w:lang w:val="fr-FR"/>
        </w:rPr>
        <w:t>de la moelle épinière) chez les patients pédiatriques à partir de 5 ans, dont la vessie est vidangée de manière fiable</w:t>
      </w:r>
      <w:r w:rsidR="005A0E59">
        <w:rPr>
          <w:rFonts w:ascii="Arial" w:hAnsi="Arial" w:cs="Arial"/>
          <w:bCs/>
          <w:sz w:val="18"/>
          <w:szCs w:val="18"/>
          <w:lang w:val="fr-FR"/>
        </w:rPr>
        <w:t xml:space="preserve"> </w:t>
      </w:r>
      <w:r w:rsidR="003319D8" w:rsidRPr="0027774F">
        <w:rPr>
          <w:rFonts w:ascii="Arial" w:hAnsi="Arial" w:cs="Arial"/>
          <w:bCs/>
          <w:sz w:val="18"/>
          <w:szCs w:val="18"/>
          <w:lang w:val="fr-FR"/>
        </w:rPr>
        <w:t>par un sondage régulier à usage unique et qui ne répondent pas suffisamment aux médicaments anticholinergiques</w:t>
      </w:r>
      <w:r w:rsidR="005A0E59">
        <w:rPr>
          <w:rFonts w:ascii="Arial" w:hAnsi="Arial" w:cs="Arial"/>
          <w:bCs/>
          <w:sz w:val="18"/>
          <w:szCs w:val="18"/>
          <w:lang w:val="fr-FR"/>
        </w:rPr>
        <w:t xml:space="preserve"> </w:t>
      </w:r>
      <w:r w:rsidR="003319D8" w:rsidRPr="0027774F">
        <w:rPr>
          <w:rFonts w:ascii="Arial" w:hAnsi="Arial" w:cs="Arial"/>
          <w:bCs/>
          <w:sz w:val="18"/>
          <w:szCs w:val="18"/>
          <w:lang w:val="fr-FR"/>
        </w:rPr>
        <w:t>ou ne les tolèrent pas</w:t>
      </w:r>
      <w:r w:rsidR="00DE4B6D" w:rsidRPr="0027774F">
        <w:rPr>
          <w:rFonts w:ascii="Arial" w:hAnsi="Arial" w:cs="Arial"/>
          <w:bCs/>
          <w:sz w:val="18"/>
          <w:szCs w:val="18"/>
          <w:lang w:val="fr-FR"/>
        </w:rPr>
        <w:t xml:space="preserve">. </w:t>
      </w:r>
      <w:proofErr w:type="gramStart"/>
      <w:r w:rsidRPr="0027774F">
        <w:rPr>
          <w:rFonts w:ascii="Arial" w:hAnsi="Arial" w:cs="Arial"/>
          <w:b/>
          <w:sz w:val="18"/>
          <w:szCs w:val="18"/>
          <w:lang w:val="fr-FR"/>
        </w:rPr>
        <w:t>PM</w:t>
      </w:r>
      <w:bookmarkEnd w:id="1"/>
      <w:r w:rsidRPr="0027774F">
        <w:rPr>
          <w:rFonts w:ascii="Arial" w:hAnsi="Arial" w:cs="Arial"/>
          <w:b/>
          <w:sz w:val="18"/>
          <w:szCs w:val="18"/>
          <w:lang w:val="fr-FR"/>
        </w:rPr>
        <w:t>:</w:t>
      </w:r>
      <w:proofErr w:type="gramEnd"/>
      <w:r w:rsidRPr="0027774F">
        <w:rPr>
          <w:rFonts w:ascii="Arial" w:hAnsi="Arial" w:cs="Arial"/>
          <w:sz w:val="18"/>
          <w:szCs w:val="18"/>
          <w:lang w:val="fr-FR"/>
        </w:rPr>
        <w:t xml:space="preserve"> Les unités de toxine botulique ne sont pas applicables à d’autres préparations</w:t>
      </w:r>
      <w:r w:rsidRPr="0027774F">
        <w:rPr>
          <w:rFonts w:ascii="Arial" w:hAnsi="Arial" w:cs="Arial"/>
          <w:i/>
          <w:iCs/>
          <w:sz w:val="18"/>
          <w:szCs w:val="18"/>
          <w:lang w:val="fr-FR"/>
        </w:rPr>
        <w:t xml:space="preserve">. </w:t>
      </w:r>
      <w:r w:rsidRPr="0027774F">
        <w:rPr>
          <w:rFonts w:ascii="Arial" w:hAnsi="Arial" w:cs="Arial"/>
          <w:sz w:val="18"/>
          <w:szCs w:val="18"/>
          <w:lang w:val="fr-FR"/>
        </w:rPr>
        <w:t xml:space="preserve">Administration uniquement par des médecins spécialistes possédant les qualifications et l’équipement appropriés (p.ex. EMG). Individuelle et dépendante de l’indication, de préférence par titration de la dose. </w:t>
      </w:r>
      <w:bookmarkStart w:id="2" w:name="_Hlk31813841"/>
      <w:proofErr w:type="gramStart"/>
      <w:r w:rsidRPr="0027774F">
        <w:rPr>
          <w:rFonts w:ascii="Arial" w:hAnsi="Arial" w:cs="Arial"/>
          <w:b/>
          <w:sz w:val="18"/>
          <w:szCs w:val="18"/>
          <w:lang w:val="fr-FR"/>
        </w:rPr>
        <w:t>C</w:t>
      </w:r>
      <w:bookmarkEnd w:id="2"/>
      <w:r w:rsidR="000520C3" w:rsidRPr="0027774F">
        <w:rPr>
          <w:rFonts w:ascii="Arial" w:hAnsi="Arial" w:cs="Arial"/>
          <w:b/>
          <w:sz w:val="18"/>
          <w:szCs w:val="18"/>
          <w:lang w:val="fr-FR"/>
        </w:rPr>
        <w:t>I</w:t>
      </w:r>
      <w:r w:rsidRPr="0027774F">
        <w:rPr>
          <w:rFonts w:ascii="Arial" w:hAnsi="Arial" w:cs="Arial"/>
          <w:b/>
          <w:sz w:val="18"/>
          <w:szCs w:val="18"/>
          <w:lang w:val="fr-FR"/>
        </w:rPr>
        <w:t>:</w:t>
      </w:r>
      <w:proofErr w:type="gramEnd"/>
      <w:r w:rsidRPr="0027774F">
        <w:rPr>
          <w:rFonts w:ascii="Arial" w:hAnsi="Arial" w:cs="Arial"/>
          <w:sz w:val="18"/>
          <w:szCs w:val="18"/>
          <w:lang w:val="fr-FR"/>
        </w:rPr>
        <w:t xml:space="preserve"> Hypersensibilité au principe actif ou à un excipient. Infection au niveau des sites d’injection prévus. </w:t>
      </w:r>
      <w:r w:rsidRPr="0027774F">
        <w:rPr>
          <w:rFonts w:ascii="Arial" w:hAnsi="Arial" w:cs="Arial"/>
          <w:iCs/>
          <w:sz w:val="18"/>
          <w:szCs w:val="18"/>
          <w:lang w:val="fr-FR"/>
        </w:rPr>
        <w:t>Inj</w:t>
      </w:r>
      <w:r w:rsidR="00DD5DB0" w:rsidRPr="0027774F">
        <w:rPr>
          <w:rFonts w:ascii="Arial" w:hAnsi="Arial" w:cs="Arial"/>
          <w:iCs/>
          <w:sz w:val="18"/>
          <w:szCs w:val="18"/>
          <w:lang w:val="fr-FR"/>
        </w:rPr>
        <w:t>ection</w:t>
      </w:r>
      <w:r w:rsidRPr="0027774F">
        <w:rPr>
          <w:rFonts w:ascii="Arial" w:hAnsi="Arial" w:cs="Arial"/>
          <w:iCs/>
          <w:sz w:val="18"/>
          <w:szCs w:val="18"/>
          <w:lang w:val="fr-FR"/>
        </w:rPr>
        <w:t xml:space="preserve"> dans le muscle </w:t>
      </w:r>
      <w:proofErr w:type="gramStart"/>
      <w:r w:rsidRPr="0027774F">
        <w:rPr>
          <w:rFonts w:ascii="Arial" w:hAnsi="Arial" w:cs="Arial"/>
          <w:iCs/>
          <w:sz w:val="18"/>
          <w:szCs w:val="18"/>
          <w:lang w:val="fr-FR"/>
        </w:rPr>
        <w:t>détrusor:</w:t>
      </w:r>
      <w:proofErr w:type="gramEnd"/>
      <w:r w:rsidRPr="0027774F">
        <w:rPr>
          <w:rFonts w:ascii="Arial" w:hAnsi="Arial" w:cs="Arial"/>
          <w:i/>
          <w:sz w:val="18"/>
          <w:szCs w:val="18"/>
          <w:lang w:val="fr-FR"/>
        </w:rPr>
        <w:t xml:space="preserve"> </w:t>
      </w:r>
      <w:r w:rsidRPr="0027774F">
        <w:rPr>
          <w:rFonts w:ascii="Arial" w:hAnsi="Arial" w:cs="Arial"/>
          <w:sz w:val="18"/>
          <w:szCs w:val="18"/>
          <w:lang w:val="fr-FR"/>
        </w:rPr>
        <w:t xml:space="preserve">Infection urinaire, rétention urinaire aiguë sans sondage vésical. </w:t>
      </w:r>
      <w:bookmarkStart w:id="3" w:name="_Hlk31813851"/>
      <w:proofErr w:type="gramStart"/>
      <w:r w:rsidRPr="0027774F">
        <w:rPr>
          <w:rFonts w:ascii="Arial" w:hAnsi="Arial" w:cs="Arial"/>
          <w:b/>
          <w:sz w:val="18"/>
          <w:szCs w:val="18"/>
          <w:lang w:val="fr-FR"/>
        </w:rPr>
        <w:t>M</w:t>
      </w:r>
      <w:bookmarkEnd w:id="3"/>
      <w:r w:rsidRPr="0027774F">
        <w:rPr>
          <w:rFonts w:ascii="Arial" w:hAnsi="Arial" w:cs="Arial"/>
          <w:b/>
          <w:sz w:val="18"/>
          <w:szCs w:val="18"/>
          <w:lang w:val="fr-FR"/>
        </w:rPr>
        <w:t>:</w:t>
      </w:r>
      <w:proofErr w:type="gramEnd"/>
      <w:r w:rsidRPr="0027774F">
        <w:rPr>
          <w:rFonts w:ascii="Arial" w:hAnsi="Arial" w:cs="Arial"/>
          <w:sz w:val="18"/>
          <w:szCs w:val="18"/>
          <w:lang w:val="fr-FR"/>
        </w:rPr>
        <w:t xml:space="preserve"> Ne pas dépasser les posologies recommandées. Évaluer les bénéfices et les risques individuels avant le traitement (pat</w:t>
      </w:r>
      <w:r w:rsidR="00DD5DB0" w:rsidRPr="0027774F">
        <w:rPr>
          <w:rFonts w:ascii="Arial" w:hAnsi="Arial" w:cs="Arial"/>
          <w:sz w:val="18"/>
          <w:szCs w:val="18"/>
          <w:lang w:val="fr-FR"/>
        </w:rPr>
        <w:t>ients</w:t>
      </w:r>
      <w:r w:rsidRPr="0027774F">
        <w:rPr>
          <w:rFonts w:ascii="Arial" w:hAnsi="Arial" w:cs="Arial"/>
          <w:sz w:val="18"/>
          <w:szCs w:val="18"/>
          <w:lang w:val="fr-FR"/>
        </w:rPr>
        <w:t xml:space="preserve"> souffrant des maladies neurologiques de base, antécédents de dysphagie et aspiration, épilepsie). Précédentes interventions chirurgicales, inj</w:t>
      </w:r>
      <w:r w:rsidR="00DD5DB0" w:rsidRPr="0027774F">
        <w:rPr>
          <w:rFonts w:ascii="Arial" w:hAnsi="Arial" w:cs="Arial"/>
          <w:sz w:val="18"/>
          <w:szCs w:val="18"/>
          <w:lang w:val="fr-FR"/>
        </w:rPr>
        <w:t>ections</w:t>
      </w:r>
      <w:r w:rsidRPr="0027774F">
        <w:rPr>
          <w:rFonts w:ascii="Arial" w:hAnsi="Arial" w:cs="Arial"/>
          <w:sz w:val="18"/>
          <w:szCs w:val="18"/>
          <w:lang w:val="fr-FR"/>
        </w:rPr>
        <w:t xml:space="preserve"> dans des structures anatomiques sensibles, inflammation du site d’injection prévu, faiblesse/atrophie du muscle visé à </w:t>
      </w:r>
      <w:proofErr w:type="gramStart"/>
      <w:r w:rsidRPr="0027774F">
        <w:rPr>
          <w:rFonts w:ascii="Arial" w:hAnsi="Arial" w:cs="Arial"/>
          <w:sz w:val="18"/>
          <w:szCs w:val="18"/>
          <w:lang w:val="fr-FR"/>
        </w:rPr>
        <w:t>l’inj</w:t>
      </w:r>
      <w:r w:rsidR="00DD5DB0" w:rsidRPr="0027774F">
        <w:rPr>
          <w:rFonts w:ascii="Arial" w:hAnsi="Arial" w:cs="Arial"/>
          <w:sz w:val="18"/>
          <w:szCs w:val="18"/>
          <w:lang w:val="fr-FR"/>
        </w:rPr>
        <w:t>ection</w:t>
      </w:r>
      <w:r w:rsidRPr="0027774F">
        <w:rPr>
          <w:rFonts w:ascii="Arial" w:hAnsi="Arial" w:cs="Arial"/>
          <w:sz w:val="18"/>
          <w:szCs w:val="18"/>
          <w:lang w:val="fr-FR"/>
        </w:rPr>
        <w:t>;</w:t>
      </w:r>
      <w:proofErr w:type="gramEnd"/>
      <w:r w:rsidRPr="0027774F">
        <w:rPr>
          <w:rFonts w:ascii="Arial" w:hAnsi="Arial" w:cs="Arial"/>
          <w:sz w:val="18"/>
          <w:szCs w:val="18"/>
          <w:lang w:val="fr-FR"/>
        </w:rPr>
        <w:t xml:space="preserve"> troubles de la déglutition, de l’élocution, respiratoires nécessitant la consultation immédiate d’un médecin; mise à disposition de mesures immédiates en cas de réactions anaphylactiques; possible réduction de l’efficacité par la formation d’anticorps neutralisants. </w:t>
      </w:r>
      <w:r w:rsidRPr="0027774F">
        <w:rPr>
          <w:rFonts w:ascii="Arial" w:hAnsi="Arial" w:cs="Arial"/>
          <w:spacing w:val="-1"/>
          <w:sz w:val="18"/>
          <w:szCs w:val="18"/>
          <w:lang w:val="fr-FR"/>
        </w:rPr>
        <w:t>Prudence en cas d’affections pouvant entraîner des troubles neuromusculaires périphériques et chez les patients atteints d’un trouble de la conduction neuromusculaire avéré (p.ex. en cas de myasthénie grave ou de syndrome de Eaton-Lambert).</w:t>
      </w:r>
      <w:r w:rsidRPr="0027774F">
        <w:rPr>
          <w:rFonts w:ascii="Arial" w:hAnsi="Arial" w:cs="Arial"/>
          <w:sz w:val="18"/>
          <w:szCs w:val="18"/>
          <w:lang w:val="fr-FR"/>
        </w:rPr>
        <w:t xml:space="preserve"> </w:t>
      </w:r>
      <w:r w:rsidRPr="0027774F">
        <w:rPr>
          <w:rFonts w:ascii="Arial" w:hAnsi="Arial" w:cs="Arial"/>
          <w:spacing w:val="-1"/>
          <w:sz w:val="18"/>
          <w:szCs w:val="18"/>
          <w:lang w:val="fr-FR"/>
        </w:rPr>
        <w:t xml:space="preserve">Prudence en cas d’injections à proximité des poumons (en particulier au niveau des apex pulmonaires). Utiliser la solution immédiatement après dilution dans la seringue (p.ex. l’incontinence urinaire). </w:t>
      </w:r>
      <w:bookmarkStart w:id="4" w:name="_Hlk31813860"/>
      <w:proofErr w:type="gramStart"/>
      <w:r w:rsidRPr="0027774F">
        <w:rPr>
          <w:rFonts w:ascii="Arial" w:hAnsi="Arial" w:cs="Arial"/>
          <w:b/>
          <w:sz w:val="18"/>
          <w:szCs w:val="18"/>
          <w:lang w:val="fr-FR"/>
        </w:rPr>
        <w:t>I</w:t>
      </w:r>
      <w:bookmarkEnd w:id="4"/>
      <w:r w:rsidR="000520C3" w:rsidRPr="0027774F">
        <w:rPr>
          <w:rFonts w:ascii="Arial" w:hAnsi="Arial" w:cs="Arial"/>
          <w:b/>
          <w:sz w:val="18"/>
          <w:szCs w:val="18"/>
          <w:lang w:val="fr-FR"/>
        </w:rPr>
        <w:t>A</w:t>
      </w:r>
      <w:r w:rsidRPr="0027774F">
        <w:rPr>
          <w:rFonts w:ascii="Arial" w:hAnsi="Arial" w:cs="Arial"/>
          <w:b/>
          <w:sz w:val="18"/>
          <w:szCs w:val="18"/>
          <w:lang w:val="fr-FR"/>
        </w:rPr>
        <w:t>:</w:t>
      </w:r>
      <w:proofErr w:type="gramEnd"/>
      <w:r w:rsidRPr="0027774F">
        <w:rPr>
          <w:rFonts w:ascii="Arial" w:hAnsi="Arial" w:cs="Arial"/>
          <w:bCs/>
          <w:sz w:val="18"/>
          <w:szCs w:val="18"/>
          <w:lang w:val="fr-FR"/>
        </w:rPr>
        <w:t xml:space="preserve"> Antibiotiques </w:t>
      </w:r>
      <w:r w:rsidRPr="0027774F">
        <w:rPr>
          <w:rFonts w:ascii="Arial" w:hAnsi="Arial" w:cs="Arial"/>
          <w:sz w:val="18"/>
          <w:szCs w:val="18"/>
          <w:lang w:val="fr-FR"/>
        </w:rPr>
        <w:t xml:space="preserve">aminoglycosides, </w:t>
      </w:r>
      <w:proofErr w:type="spellStart"/>
      <w:r w:rsidRPr="0027774F">
        <w:rPr>
          <w:rFonts w:ascii="Arial" w:hAnsi="Arial" w:cs="Arial"/>
          <w:sz w:val="18"/>
          <w:szCs w:val="18"/>
          <w:lang w:val="fr-FR"/>
        </w:rPr>
        <w:t>spectinomycine</w:t>
      </w:r>
      <w:proofErr w:type="spellEnd"/>
      <w:r w:rsidRPr="0027774F">
        <w:rPr>
          <w:rFonts w:ascii="Arial" w:hAnsi="Arial" w:cs="Arial"/>
          <w:sz w:val="18"/>
          <w:szCs w:val="18"/>
          <w:lang w:val="fr-FR"/>
        </w:rPr>
        <w:t>, médicaments inhibant la transmission neuromusculaire (p. ex. relaxants musculaires), autres toxines botuliques. Ne pas mélanger avec d’autres médicaments. Déconseillé pour les femmes en âge de proc</w:t>
      </w:r>
      <w:r w:rsidR="00515200" w:rsidRPr="0027774F">
        <w:rPr>
          <w:rFonts w:ascii="Arial" w:hAnsi="Arial" w:cs="Arial"/>
          <w:sz w:val="18"/>
          <w:szCs w:val="18"/>
          <w:lang w:val="fr-FR"/>
        </w:rPr>
        <w:t>réer</w:t>
      </w:r>
      <w:r w:rsidRPr="0027774F">
        <w:rPr>
          <w:rFonts w:ascii="Arial" w:hAnsi="Arial" w:cs="Arial"/>
          <w:sz w:val="18"/>
          <w:szCs w:val="18"/>
          <w:lang w:val="fr-FR"/>
        </w:rPr>
        <w:t xml:space="preserve"> qui n’utilisent pas de contraception, pendant la grossesse et l’allaitement. </w:t>
      </w:r>
      <w:proofErr w:type="gramStart"/>
      <w:r w:rsidR="0040215B" w:rsidRPr="0027774F">
        <w:rPr>
          <w:rFonts w:ascii="Arial" w:hAnsi="Arial" w:cs="Arial"/>
          <w:b/>
          <w:sz w:val="18"/>
          <w:szCs w:val="18"/>
          <w:lang w:val="fr-FR"/>
        </w:rPr>
        <w:t>EI</w:t>
      </w:r>
      <w:r w:rsidRPr="0027774F">
        <w:rPr>
          <w:rFonts w:ascii="Arial" w:hAnsi="Arial" w:cs="Arial"/>
          <w:b/>
          <w:sz w:val="18"/>
          <w:szCs w:val="18"/>
          <w:lang w:val="fr-FR"/>
        </w:rPr>
        <w:t>:</w:t>
      </w:r>
      <w:proofErr w:type="gramEnd"/>
      <w:r w:rsidRPr="0027774F">
        <w:rPr>
          <w:rFonts w:ascii="Arial" w:hAnsi="Arial" w:cs="Arial"/>
          <w:sz w:val="18"/>
          <w:szCs w:val="18"/>
          <w:lang w:val="fr-FR"/>
        </w:rPr>
        <w:t xml:space="preserve"> </w:t>
      </w:r>
      <w:r w:rsidRPr="0027774F">
        <w:rPr>
          <w:rFonts w:ascii="Arial" w:hAnsi="Arial" w:cs="Arial"/>
          <w:iCs/>
          <w:sz w:val="18"/>
          <w:szCs w:val="18"/>
          <w:lang w:val="fr-FR"/>
        </w:rPr>
        <w:t>Très fréquents:</w:t>
      </w:r>
      <w:r w:rsidRPr="0027774F">
        <w:rPr>
          <w:rFonts w:ascii="Arial" w:hAnsi="Arial" w:cs="Arial"/>
          <w:i/>
          <w:sz w:val="18"/>
          <w:szCs w:val="18"/>
          <w:lang w:val="fr-FR"/>
        </w:rPr>
        <w:t xml:space="preserve"> </w:t>
      </w:r>
      <w:r w:rsidRPr="0027774F">
        <w:rPr>
          <w:rFonts w:ascii="Arial" w:hAnsi="Arial" w:cs="Arial"/>
          <w:sz w:val="18"/>
          <w:szCs w:val="18"/>
          <w:lang w:val="fr-FR"/>
        </w:rPr>
        <w:t xml:space="preserve">ptosis de la paupière supérieure, troubles du mouvement des yeux, dysphagie, faiblesse musculaire, </w:t>
      </w:r>
      <w:r w:rsidR="008A41B1" w:rsidRPr="0027774F">
        <w:rPr>
          <w:rFonts w:ascii="Arial" w:hAnsi="Arial" w:cs="Arial"/>
          <w:sz w:val="18"/>
          <w:szCs w:val="18"/>
          <w:lang w:val="x-none"/>
        </w:rPr>
        <w:t>douleur, infections des voies urinaires, dysurie, bactériurie, rétention urinaire, volume d’urine restante, douleurs au site d’injection.</w:t>
      </w:r>
      <w:bookmarkStart w:id="5" w:name="_Hlk31814389"/>
      <w:r w:rsidR="008A41B1" w:rsidRPr="0027774F">
        <w:rPr>
          <w:rFonts w:ascii="Arial" w:hAnsi="Arial" w:cs="Arial"/>
          <w:sz w:val="18"/>
          <w:szCs w:val="18"/>
          <w:lang w:val="fr-FR"/>
        </w:rPr>
        <w:t xml:space="preserve"> </w:t>
      </w:r>
      <w:proofErr w:type="gramStart"/>
      <w:r w:rsidRPr="0027774F">
        <w:rPr>
          <w:rFonts w:ascii="Arial" w:hAnsi="Arial" w:cs="Arial"/>
          <w:b/>
          <w:sz w:val="18"/>
          <w:szCs w:val="18"/>
          <w:lang w:val="fr-FR"/>
        </w:rPr>
        <w:t>P</w:t>
      </w:r>
      <w:bookmarkEnd w:id="5"/>
      <w:r w:rsidRPr="0027774F">
        <w:rPr>
          <w:rFonts w:ascii="Arial" w:hAnsi="Arial" w:cs="Arial"/>
          <w:b/>
          <w:sz w:val="18"/>
          <w:szCs w:val="18"/>
          <w:lang w:val="fr-FR"/>
        </w:rPr>
        <w:t>:</w:t>
      </w:r>
      <w:proofErr w:type="gramEnd"/>
      <w:r w:rsidRPr="0027774F">
        <w:rPr>
          <w:rFonts w:ascii="Arial" w:hAnsi="Arial" w:cs="Arial"/>
          <w:b/>
          <w:bCs/>
          <w:sz w:val="18"/>
          <w:szCs w:val="18"/>
          <w:lang w:val="fr-FR"/>
        </w:rPr>
        <w:t xml:space="preserve"> </w:t>
      </w:r>
      <w:r w:rsidR="00FF7A07" w:rsidRPr="0027774F">
        <w:rPr>
          <w:rFonts w:ascii="Arial" w:hAnsi="Arial" w:cs="Arial"/>
          <w:sz w:val="18"/>
          <w:szCs w:val="18"/>
          <w:lang w:val="fr-FR"/>
        </w:rPr>
        <w:t>2 x 1 flacons avec BOTOX</w:t>
      </w:r>
      <w:r w:rsidR="00FF7A07" w:rsidRPr="0027774F">
        <w:rPr>
          <w:rFonts w:ascii="Arial" w:hAnsi="Arial" w:cs="Arial"/>
          <w:sz w:val="18"/>
          <w:szCs w:val="18"/>
          <w:vertAlign w:val="superscript"/>
          <w:lang w:val="fr-FR"/>
        </w:rPr>
        <w:t xml:space="preserve">® </w:t>
      </w:r>
      <w:r w:rsidR="00FF7A07" w:rsidRPr="0027774F">
        <w:rPr>
          <w:rFonts w:ascii="Arial" w:hAnsi="Arial" w:cs="Arial"/>
          <w:sz w:val="18"/>
          <w:szCs w:val="18"/>
          <w:lang w:val="fr-FR"/>
        </w:rPr>
        <w:t xml:space="preserve">50 unités Allergan. </w:t>
      </w:r>
      <w:r w:rsidRPr="0027774F">
        <w:rPr>
          <w:rFonts w:ascii="Arial" w:hAnsi="Arial" w:cs="Arial"/>
          <w:sz w:val="18"/>
          <w:szCs w:val="18"/>
          <w:lang w:val="fr-FR"/>
        </w:rPr>
        <w:t>1 et 2 x 1 flacons avec BOTOX</w:t>
      </w:r>
      <w:r w:rsidRPr="0027774F">
        <w:rPr>
          <w:rFonts w:ascii="Arial" w:hAnsi="Arial" w:cs="Arial"/>
          <w:sz w:val="18"/>
          <w:szCs w:val="18"/>
          <w:vertAlign w:val="superscript"/>
          <w:lang w:val="fr-FR"/>
        </w:rPr>
        <w:t xml:space="preserve">® </w:t>
      </w:r>
      <w:r w:rsidRPr="0027774F">
        <w:rPr>
          <w:rFonts w:ascii="Arial" w:hAnsi="Arial" w:cs="Arial"/>
          <w:sz w:val="18"/>
          <w:szCs w:val="18"/>
          <w:lang w:val="fr-FR"/>
        </w:rPr>
        <w:t xml:space="preserve">100 unités Allergan. </w:t>
      </w:r>
      <w:bookmarkStart w:id="6" w:name="_Hlk31813901"/>
      <w:r w:rsidR="008A41B1" w:rsidRPr="0027774F">
        <w:rPr>
          <w:rFonts w:ascii="Arial" w:hAnsi="Arial" w:cs="Arial"/>
          <w:sz w:val="18"/>
          <w:szCs w:val="18"/>
          <w:lang w:val="fr-FR"/>
        </w:rPr>
        <w:t xml:space="preserve">Liste A, avec </w:t>
      </w:r>
      <w:proofErr w:type="spellStart"/>
      <w:r w:rsidR="008A41B1" w:rsidRPr="0027774F">
        <w:rPr>
          <w:rFonts w:ascii="Arial" w:hAnsi="Arial" w:cs="Arial"/>
          <w:sz w:val="18"/>
          <w:szCs w:val="18"/>
          <w:lang w:val="fr-FR"/>
        </w:rPr>
        <w:t>limitatio</w:t>
      </w:r>
      <w:proofErr w:type="spellEnd"/>
      <w:r w:rsidR="008A41B1" w:rsidRPr="0027774F">
        <w:rPr>
          <w:rFonts w:ascii="Arial" w:hAnsi="Arial" w:cs="Arial"/>
          <w:sz w:val="18"/>
          <w:szCs w:val="18"/>
          <w:lang w:val="fr-FR"/>
        </w:rPr>
        <w:t>.</w:t>
      </w:r>
      <w:bookmarkStart w:id="7" w:name="_Hlk31813932"/>
      <w:bookmarkEnd w:id="6"/>
      <w:r w:rsidR="008A41B1" w:rsidRPr="0027774F">
        <w:rPr>
          <w:rFonts w:ascii="Arial" w:hAnsi="Arial" w:cs="Arial"/>
          <w:sz w:val="18"/>
          <w:szCs w:val="18"/>
          <w:lang w:val="fr-FR"/>
        </w:rPr>
        <w:t xml:space="preserve"> </w:t>
      </w:r>
      <w:proofErr w:type="gramStart"/>
      <w:r w:rsidRPr="0027774F">
        <w:rPr>
          <w:rFonts w:ascii="Arial" w:hAnsi="Arial" w:cs="Arial"/>
          <w:b/>
          <w:bCs/>
          <w:sz w:val="18"/>
          <w:szCs w:val="18"/>
          <w:lang w:val="fr-FR"/>
        </w:rPr>
        <w:t>T</w:t>
      </w:r>
      <w:bookmarkEnd w:id="7"/>
      <w:r w:rsidRPr="0027774F">
        <w:rPr>
          <w:rFonts w:ascii="Arial" w:hAnsi="Arial" w:cs="Arial"/>
          <w:b/>
          <w:bCs/>
          <w:sz w:val="18"/>
          <w:szCs w:val="18"/>
          <w:lang w:val="fr-FR"/>
        </w:rPr>
        <w:t>:</w:t>
      </w:r>
      <w:proofErr w:type="gramEnd"/>
      <w:r w:rsidRPr="0027774F">
        <w:rPr>
          <w:rFonts w:ascii="Arial" w:hAnsi="Arial" w:cs="Arial"/>
          <w:sz w:val="18"/>
          <w:szCs w:val="18"/>
          <w:lang w:val="fr-FR"/>
        </w:rPr>
        <w:t xml:space="preserve"> </w:t>
      </w:r>
      <w:r w:rsidR="00FF7A07" w:rsidRPr="0027774F">
        <w:rPr>
          <w:rFonts w:ascii="Arial" w:hAnsi="Arial" w:cs="Arial"/>
          <w:sz w:val="18"/>
          <w:szCs w:val="18"/>
          <w:lang w:val="fr-FR"/>
        </w:rPr>
        <w:t>AbbVie</w:t>
      </w:r>
      <w:r w:rsidRPr="0027774F">
        <w:rPr>
          <w:rFonts w:ascii="Arial" w:hAnsi="Arial" w:cs="Arial"/>
          <w:sz w:val="18"/>
          <w:szCs w:val="18"/>
          <w:lang w:val="fr-FR"/>
        </w:rPr>
        <w:t xml:space="preserve"> S.A., </w:t>
      </w:r>
      <w:r w:rsidR="000520C3" w:rsidRPr="0027774F">
        <w:rPr>
          <w:rFonts w:ascii="Arial" w:hAnsi="Arial" w:cs="Arial"/>
          <w:sz w:val="18"/>
          <w:szCs w:val="18"/>
          <w:lang w:val="fr-FR"/>
        </w:rPr>
        <w:t xml:space="preserve">Alte </w:t>
      </w:r>
      <w:proofErr w:type="spellStart"/>
      <w:r w:rsidR="000520C3" w:rsidRPr="0027774F">
        <w:rPr>
          <w:rFonts w:ascii="Arial" w:hAnsi="Arial" w:cs="Arial"/>
          <w:sz w:val="18"/>
          <w:szCs w:val="18"/>
          <w:lang w:val="fr-FR"/>
        </w:rPr>
        <w:t>Steinhauserstrasse</w:t>
      </w:r>
      <w:proofErr w:type="spellEnd"/>
      <w:r w:rsidR="000520C3" w:rsidRPr="0027774F">
        <w:rPr>
          <w:rFonts w:ascii="Arial" w:hAnsi="Arial" w:cs="Arial"/>
          <w:sz w:val="18"/>
          <w:szCs w:val="18"/>
          <w:lang w:val="fr-FR"/>
        </w:rPr>
        <w:t xml:space="preserve"> 14, 6330 Cham, tél. (+41) 41 399 15 00. Pour informations détaillées voir l’information professionnelle du </w:t>
      </w:r>
      <w:proofErr w:type="gramStart"/>
      <w:r w:rsidR="000520C3" w:rsidRPr="0027774F">
        <w:rPr>
          <w:rFonts w:ascii="Arial" w:hAnsi="Arial" w:cs="Arial"/>
          <w:sz w:val="18"/>
          <w:szCs w:val="18"/>
          <w:lang w:val="fr-FR"/>
        </w:rPr>
        <w:t>médicament:</w:t>
      </w:r>
      <w:proofErr w:type="gramEnd"/>
      <w:r w:rsidR="000520C3" w:rsidRPr="0027774F">
        <w:rPr>
          <w:rFonts w:ascii="Arial" w:hAnsi="Arial" w:cs="Arial"/>
          <w:sz w:val="18"/>
          <w:szCs w:val="18"/>
          <w:lang w:val="fr-FR"/>
        </w:rPr>
        <w:t xml:space="preserve"> </w:t>
      </w:r>
      <w:hyperlink r:id="rId12" w:history="1">
        <w:r w:rsidR="000520C3" w:rsidRPr="0027774F">
          <w:rPr>
            <w:rFonts w:ascii="Arial" w:hAnsi="Arial" w:cs="Arial"/>
            <w:sz w:val="18"/>
            <w:szCs w:val="18"/>
            <w:lang w:val="fr-FR"/>
          </w:rPr>
          <w:t>www.swissmedicinfo.ch</w:t>
        </w:r>
      </w:hyperlink>
      <w:r w:rsidR="000520C3" w:rsidRPr="0027774F">
        <w:rPr>
          <w:rFonts w:ascii="Arial" w:hAnsi="Arial" w:cs="Arial"/>
          <w:sz w:val="18"/>
          <w:szCs w:val="18"/>
          <w:lang w:val="fr-FR"/>
        </w:rPr>
        <w:t xml:space="preserve"> (V</w:t>
      </w:r>
      <w:r w:rsidR="008F2642" w:rsidRPr="0027774F">
        <w:rPr>
          <w:rFonts w:ascii="Arial" w:hAnsi="Arial" w:cs="Arial"/>
          <w:sz w:val="18"/>
          <w:szCs w:val="18"/>
          <w:lang w:val="fr-FR"/>
        </w:rPr>
        <w:t>4</w:t>
      </w:r>
      <w:r w:rsidR="008A41B1" w:rsidRPr="0027774F">
        <w:rPr>
          <w:rFonts w:ascii="Arial" w:hAnsi="Arial" w:cs="Arial"/>
          <w:sz w:val="18"/>
          <w:szCs w:val="18"/>
          <w:lang w:val="fr-FR"/>
        </w:rPr>
        <w:t>)</w:t>
      </w:r>
      <w:r w:rsidRPr="0027774F">
        <w:rPr>
          <w:rFonts w:ascii="Arial" w:hAnsi="Arial" w:cs="Arial"/>
          <w:sz w:val="18"/>
          <w:szCs w:val="18"/>
          <w:lang w:val="fr-FR"/>
        </w:rPr>
        <w:t>.</w:t>
      </w:r>
    </w:p>
    <w:p w14:paraId="5A37C49D" w14:textId="4EA53D31" w:rsidR="00693A07" w:rsidRPr="00E86DDB" w:rsidRDefault="00693A07" w:rsidP="00E912DA">
      <w:pPr>
        <w:autoSpaceDE w:val="0"/>
        <w:autoSpaceDN w:val="0"/>
        <w:adjustRightInd w:val="0"/>
        <w:snapToGrid w:val="0"/>
        <w:spacing w:line="276" w:lineRule="auto"/>
        <w:rPr>
          <w:rFonts w:ascii="Arial" w:hAnsi="Arial" w:cs="Arial"/>
          <w:sz w:val="18"/>
          <w:szCs w:val="18"/>
          <w:lang w:val="x-none"/>
        </w:rPr>
      </w:pPr>
    </w:p>
    <w:p w14:paraId="34295732" w14:textId="77777777" w:rsidR="008A41B1" w:rsidRPr="00E86DDB" w:rsidRDefault="008A41B1" w:rsidP="000520C3">
      <w:pPr>
        <w:autoSpaceDE w:val="0"/>
        <w:autoSpaceDN w:val="0"/>
        <w:adjustRightInd w:val="0"/>
        <w:snapToGrid w:val="0"/>
        <w:rPr>
          <w:rFonts w:ascii="Arial" w:hAnsi="Arial" w:cs="Arial"/>
          <w:sz w:val="18"/>
          <w:szCs w:val="18"/>
          <w:lang w:val="x-none"/>
        </w:rPr>
      </w:pPr>
    </w:p>
    <w:p w14:paraId="6FE3BC11" w14:textId="77777777" w:rsidR="000520C3" w:rsidRPr="00E86DDB" w:rsidRDefault="000520C3" w:rsidP="000520C3">
      <w:pPr>
        <w:spacing w:line="276" w:lineRule="auto"/>
        <w:jc w:val="both"/>
        <w:rPr>
          <w:rFonts w:ascii="Arial" w:hAnsi="Arial" w:cs="Arial"/>
          <w:sz w:val="18"/>
          <w:szCs w:val="18"/>
          <w:highlight w:val="lightGray"/>
          <w:lang w:val="fr-CH" w:eastAsia="de-CH"/>
        </w:rPr>
      </w:pPr>
    </w:p>
    <w:p w14:paraId="1A30B1EA" w14:textId="5E807580" w:rsidR="00693A07" w:rsidRPr="00E86DDB" w:rsidRDefault="008F2642" w:rsidP="00693A07">
      <w:pPr>
        <w:shd w:val="clear" w:color="auto" w:fill="FFFFFF"/>
        <w:spacing w:line="276" w:lineRule="auto"/>
        <w:ind w:left="10"/>
        <w:jc w:val="both"/>
        <w:rPr>
          <w:rFonts w:ascii="Arial" w:hAnsi="Arial" w:cs="Arial"/>
          <w:sz w:val="18"/>
          <w:szCs w:val="18"/>
          <w:lang w:val="fr-FR"/>
        </w:rPr>
      </w:pPr>
      <w:r w:rsidRPr="008F2642">
        <w:rPr>
          <w:rFonts w:ascii="Arial" w:hAnsi="Arial" w:cs="Arial"/>
          <w:sz w:val="18"/>
          <w:szCs w:val="18"/>
          <w:lang w:val="de-CH" w:eastAsia="de-CH"/>
        </w:rPr>
        <w:t>CH-BTX-230134</w:t>
      </w:r>
      <w:r>
        <w:rPr>
          <w:rFonts w:ascii="Arial" w:hAnsi="Arial" w:cs="Arial"/>
          <w:sz w:val="18"/>
          <w:szCs w:val="18"/>
          <w:lang w:val="de-CH" w:eastAsia="de-CH"/>
        </w:rPr>
        <w:t xml:space="preserve"> </w:t>
      </w:r>
      <w:r w:rsidR="00F92EB4" w:rsidRPr="00E86DDB">
        <w:rPr>
          <w:rFonts w:ascii="Arial" w:hAnsi="Arial" w:cs="Arial"/>
          <w:sz w:val="18"/>
          <w:szCs w:val="18"/>
          <w:lang w:val="de-CH" w:eastAsia="de-CH"/>
        </w:rPr>
        <w:t>0</w:t>
      </w:r>
      <w:r w:rsidR="005A0E59">
        <w:rPr>
          <w:rFonts w:ascii="Arial" w:hAnsi="Arial" w:cs="Arial"/>
          <w:sz w:val="18"/>
          <w:szCs w:val="18"/>
          <w:lang w:val="de-CH" w:eastAsia="de-CH"/>
        </w:rPr>
        <w:t>8</w:t>
      </w:r>
      <w:r w:rsidR="00F92EB4" w:rsidRPr="00E86DDB">
        <w:rPr>
          <w:rFonts w:ascii="Arial" w:hAnsi="Arial" w:cs="Arial"/>
          <w:sz w:val="18"/>
          <w:szCs w:val="18"/>
          <w:lang w:val="de-CH" w:eastAsia="de-CH"/>
        </w:rPr>
        <w:t>/202</w:t>
      </w:r>
      <w:r w:rsidR="00035563">
        <w:rPr>
          <w:rFonts w:ascii="Arial" w:hAnsi="Arial" w:cs="Arial"/>
          <w:sz w:val="18"/>
          <w:szCs w:val="18"/>
          <w:lang w:val="de-CH" w:eastAsia="de-CH"/>
        </w:rPr>
        <w:t>3</w:t>
      </w:r>
    </w:p>
    <w:sectPr w:rsidR="00693A07" w:rsidRPr="00E86DDB" w:rsidSect="00124226">
      <w:headerReference w:type="default" r:id="rId13"/>
      <w:footerReference w:type="default" r:id="rId14"/>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95B3" w14:textId="77777777" w:rsidR="005179E4" w:rsidRDefault="005179E4" w:rsidP="003314D7">
      <w:r>
        <w:separator/>
      </w:r>
    </w:p>
  </w:endnote>
  <w:endnote w:type="continuationSeparator" w:id="0">
    <w:p w14:paraId="1165B186" w14:textId="77777777" w:rsidR="005179E4" w:rsidRDefault="005179E4" w:rsidP="003314D7">
      <w:r>
        <w:continuationSeparator/>
      </w:r>
    </w:p>
  </w:endnote>
  <w:endnote w:type="continuationNotice" w:id="1">
    <w:p w14:paraId="1E1F5D7E" w14:textId="77777777" w:rsidR="005179E4" w:rsidRDefault="00517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E7C4" w14:textId="2B1CAADA" w:rsidR="00D30349" w:rsidRPr="00171801" w:rsidRDefault="003326A3">
    <w:pPr>
      <w:pStyle w:val="Footer"/>
      <w:pBdr>
        <w:top w:val="thinThickSmallGap" w:sz="24" w:space="1" w:color="622423" w:themeColor="accent2" w:themeShade="7F"/>
      </w:pBdr>
      <w:rPr>
        <w:rFonts w:asciiTheme="majorHAnsi" w:hAnsiTheme="majorHAnsi"/>
        <w:lang w:val="fr-CH"/>
      </w:rPr>
    </w:pPr>
    <w:r w:rsidRPr="00171801">
      <w:rPr>
        <w:rFonts w:ascii="Arial" w:hAnsi="Arial" w:cs="Arial"/>
        <w:color w:val="000000"/>
        <w:sz w:val="14"/>
        <w:szCs w:val="14"/>
        <w:lang w:val="fr-CH"/>
      </w:rPr>
      <w:t>BOT</w:t>
    </w:r>
    <w:r w:rsidR="00E427EB" w:rsidRPr="00171801">
      <w:rPr>
        <w:rFonts w:ascii="Arial" w:hAnsi="Arial" w:cs="Arial"/>
        <w:color w:val="000000"/>
        <w:sz w:val="14"/>
        <w:szCs w:val="14"/>
        <w:lang w:val="fr-CH"/>
      </w:rPr>
      <w:t>OX_</w:t>
    </w:r>
    <w:r w:rsidR="005A0E59">
      <w:rPr>
        <w:rFonts w:ascii="Arial" w:hAnsi="Arial" w:cs="Arial"/>
        <w:color w:val="000000"/>
        <w:sz w:val="14"/>
        <w:szCs w:val="14"/>
        <w:lang w:val="fr-CH"/>
      </w:rPr>
      <w:t>AUG</w:t>
    </w:r>
    <w:r w:rsidR="00500E50">
      <w:rPr>
        <w:rFonts w:ascii="Arial" w:hAnsi="Arial" w:cs="Arial"/>
        <w:color w:val="000000"/>
        <w:sz w:val="14"/>
        <w:szCs w:val="14"/>
        <w:lang w:val="fr-CH"/>
      </w:rPr>
      <w:t>202</w:t>
    </w:r>
    <w:r w:rsidR="00E86DDB">
      <w:rPr>
        <w:rFonts w:ascii="Arial" w:hAnsi="Arial" w:cs="Arial"/>
        <w:color w:val="000000"/>
        <w:sz w:val="14"/>
        <w:szCs w:val="14"/>
        <w:lang w:val="fr-CH"/>
      </w:rPr>
      <w:t>3</w:t>
    </w:r>
    <w:r w:rsidR="00E427EB" w:rsidRPr="00171801">
      <w:rPr>
        <w:rFonts w:ascii="Arial" w:hAnsi="Arial" w:cs="Arial"/>
        <w:color w:val="000000"/>
        <w:sz w:val="14"/>
        <w:szCs w:val="14"/>
        <w:lang w:val="fr-CH"/>
      </w:rPr>
      <w:t>_FR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DC16C" w14:textId="77777777" w:rsidR="005179E4" w:rsidRDefault="005179E4" w:rsidP="003314D7">
      <w:r>
        <w:separator/>
      </w:r>
    </w:p>
  </w:footnote>
  <w:footnote w:type="continuationSeparator" w:id="0">
    <w:p w14:paraId="63EEADA3" w14:textId="77777777" w:rsidR="005179E4" w:rsidRDefault="005179E4" w:rsidP="003314D7">
      <w:r>
        <w:continuationSeparator/>
      </w:r>
    </w:p>
  </w:footnote>
  <w:footnote w:type="continuationNotice" w:id="1">
    <w:p w14:paraId="443BF177" w14:textId="77777777" w:rsidR="005179E4" w:rsidRDefault="00517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E7C3" w14:textId="7F764EEA" w:rsidR="003314D7" w:rsidRDefault="001262E1" w:rsidP="001262E1">
    <w:pPr>
      <w:pStyle w:val="Header"/>
      <w:pBdr>
        <w:bottom w:val="thickThinSmallGap" w:sz="24" w:space="1" w:color="622423" w:themeColor="accent2" w:themeShade="7F"/>
      </w:pBdr>
      <w:jc w:val="center"/>
      <w:rPr>
        <w:rFonts w:eastAsiaTheme="majorEastAsia"/>
        <w:szCs w:val="32"/>
        <w:lang w:val="fr-CH"/>
      </w:rPr>
    </w:pPr>
    <w:r>
      <w:rPr>
        <w:rFonts w:eastAsiaTheme="majorEastAsia"/>
        <w:szCs w:val="32"/>
        <w:lang w:val="fr-CH"/>
      </w:rPr>
      <w:t xml:space="preserve">BOTOX Succinct </w:t>
    </w:r>
    <w:proofErr w:type="spellStart"/>
    <w:r>
      <w:rPr>
        <w:rFonts w:eastAsiaTheme="majorEastAsia"/>
        <w:szCs w:val="32"/>
        <w:lang w:val="fr-CH"/>
      </w:rPr>
      <w:t>Statement</w:t>
    </w:r>
    <w:proofErr w:type="spellEnd"/>
  </w:p>
  <w:p w14:paraId="78BE5167" w14:textId="46BE0133" w:rsidR="001262E1" w:rsidRDefault="001262E1" w:rsidP="001262E1">
    <w:pPr>
      <w:pStyle w:val="Header"/>
      <w:pBdr>
        <w:bottom w:val="thickThinSmallGap" w:sz="24" w:space="1" w:color="622423" w:themeColor="accent2" w:themeShade="7F"/>
      </w:pBdr>
      <w:jc w:val="center"/>
      <w:rPr>
        <w:rFonts w:eastAsiaTheme="majorEastAsia"/>
        <w:szCs w:val="32"/>
        <w:lang w:val="fr-CH"/>
      </w:rPr>
    </w:pPr>
    <w:r>
      <w:rPr>
        <w:rFonts w:eastAsiaTheme="majorEastAsia"/>
        <w:szCs w:val="32"/>
        <w:lang w:val="fr-CH"/>
      </w:rPr>
      <w:t>FR</w:t>
    </w:r>
  </w:p>
  <w:p w14:paraId="06C23632" w14:textId="77777777" w:rsidR="001262E1" w:rsidRPr="001262E1" w:rsidRDefault="001262E1" w:rsidP="001262E1">
    <w:pPr>
      <w:pStyle w:val="Header"/>
      <w:pBdr>
        <w:bottom w:val="thickThinSmallGap" w:sz="24" w:space="1" w:color="622423" w:themeColor="accent2" w:themeShade="7F"/>
      </w:pBdr>
      <w:jc w:val="center"/>
      <w:rPr>
        <w:rFonts w:eastAsiaTheme="majorEastAsia"/>
        <w:szCs w:val="3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05C0"/>
    <w:multiLevelType w:val="hybridMultilevel"/>
    <w:tmpl w:val="678613B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2909417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23"/>
    <w:rsid w:val="00004B5D"/>
    <w:rsid w:val="00005001"/>
    <w:rsid w:val="00010311"/>
    <w:rsid w:val="000109C6"/>
    <w:rsid w:val="00016979"/>
    <w:rsid w:val="00024F2E"/>
    <w:rsid w:val="00035563"/>
    <w:rsid w:val="000520C3"/>
    <w:rsid w:val="000572B2"/>
    <w:rsid w:val="00071961"/>
    <w:rsid w:val="00074EF5"/>
    <w:rsid w:val="00075C4F"/>
    <w:rsid w:val="00082ADF"/>
    <w:rsid w:val="000A252E"/>
    <w:rsid w:val="000C238A"/>
    <w:rsid w:val="000C4131"/>
    <w:rsid w:val="000C6BB0"/>
    <w:rsid w:val="000E163D"/>
    <w:rsid w:val="00124226"/>
    <w:rsid w:val="001262E1"/>
    <w:rsid w:val="0012651C"/>
    <w:rsid w:val="00134A7D"/>
    <w:rsid w:val="00146A21"/>
    <w:rsid w:val="00153D98"/>
    <w:rsid w:val="001558F6"/>
    <w:rsid w:val="00156B99"/>
    <w:rsid w:val="00170F8D"/>
    <w:rsid w:val="00171801"/>
    <w:rsid w:val="001851CA"/>
    <w:rsid w:val="001A66AC"/>
    <w:rsid w:val="001C39AC"/>
    <w:rsid w:val="001C3B40"/>
    <w:rsid w:val="001C542F"/>
    <w:rsid w:val="001C6F3E"/>
    <w:rsid w:val="001E1B41"/>
    <w:rsid w:val="001F2659"/>
    <w:rsid w:val="00207833"/>
    <w:rsid w:val="00210FC8"/>
    <w:rsid w:val="002139D5"/>
    <w:rsid w:val="0021778E"/>
    <w:rsid w:val="00226B1A"/>
    <w:rsid w:val="0023250A"/>
    <w:rsid w:val="002549AE"/>
    <w:rsid w:val="0025704B"/>
    <w:rsid w:val="00272B88"/>
    <w:rsid w:val="0027774F"/>
    <w:rsid w:val="002A5C6C"/>
    <w:rsid w:val="002B1258"/>
    <w:rsid w:val="002C0F45"/>
    <w:rsid w:val="002C47CA"/>
    <w:rsid w:val="002C71F4"/>
    <w:rsid w:val="002D4A8A"/>
    <w:rsid w:val="002E708A"/>
    <w:rsid w:val="002F00DC"/>
    <w:rsid w:val="003169A3"/>
    <w:rsid w:val="00330F04"/>
    <w:rsid w:val="003314D7"/>
    <w:rsid w:val="003319D8"/>
    <w:rsid w:val="003326A3"/>
    <w:rsid w:val="00333C43"/>
    <w:rsid w:val="00337F96"/>
    <w:rsid w:val="00367FEC"/>
    <w:rsid w:val="0037263D"/>
    <w:rsid w:val="003765E4"/>
    <w:rsid w:val="003A4415"/>
    <w:rsid w:val="003B5EBF"/>
    <w:rsid w:val="003E7205"/>
    <w:rsid w:val="003F6D0F"/>
    <w:rsid w:val="0040215B"/>
    <w:rsid w:val="0042324B"/>
    <w:rsid w:val="00445AAD"/>
    <w:rsid w:val="004519CC"/>
    <w:rsid w:val="00463FAD"/>
    <w:rsid w:val="004758C4"/>
    <w:rsid w:val="00494FF8"/>
    <w:rsid w:val="004B35EF"/>
    <w:rsid w:val="004B4E14"/>
    <w:rsid w:val="004C0B0F"/>
    <w:rsid w:val="004C6A35"/>
    <w:rsid w:val="004F3C86"/>
    <w:rsid w:val="004F45C5"/>
    <w:rsid w:val="00500E50"/>
    <w:rsid w:val="00515200"/>
    <w:rsid w:val="005179E4"/>
    <w:rsid w:val="00536F29"/>
    <w:rsid w:val="00545CF3"/>
    <w:rsid w:val="005509EA"/>
    <w:rsid w:val="00561888"/>
    <w:rsid w:val="00571CE2"/>
    <w:rsid w:val="00574A1D"/>
    <w:rsid w:val="00576EED"/>
    <w:rsid w:val="005908C0"/>
    <w:rsid w:val="0059126E"/>
    <w:rsid w:val="0059587C"/>
    <w:rsid w:val="005A0E59"/>
    <w:rsid w:val="005A3263"/>
    <w:rsid w:val="005B0D93"/>
    <w:rsid w:val="005B7D3B"/>
    <w:rsid w:val="005D4362"/>
    <w:rsid w:val="005D6F7A"/>
    <w:rsid w:val="006238FF"/>
    <w:rsid w:val="00623EAB"/>
    <w:rsid w:val="0062484B"/>
    <w:rsid w:val="00642EFD"/>
    <w:rsid w:val="00662310"/>
    <w:rsid w:val="0069279E"/>
    <w:rsid w:val="0069375B"/>
    <w:rsid w:val="00693A07"/>
    <w:rsid w:val="00695C05"/>
    <w:rsid w:val="006A02D5"/>
    <w:rsid w:val="006A0B4C"/>
    <w:rsid w:val="006B4DEA"/>
    <w:rsid w:val="006C268C"/>
    <w:rsid w:val="006D4648"/>
    <w:rsid w:val="006E5CBA"/>
    <w:rsid w:val="006F4B38"/>
    <w:rsid w:val="006F75AC"/>
    <w:rsid w:val="006F798B"/>
    <w:rsid w:val="006F7F84"/>
    <w:rsid w:val="00701A6E"/>
    <w:rsid w:val="00714523"/>
    <w:rsid w:val="0071472A"/>
    <w:rsid w:val="0072165E"/>
    <w:rsid w:val="00722758"/>
    <w:rsid w:val="007267A8"/>
    <w:rsid w:val="007440A6"/>
    <w:rsid w:val="00751BCF"/>
    <w:rsid w:val="00753CC3"/>
    <w:rsid w:val="0075661B"/>
    <w:rsid w:val="00767A28"/>
    <w:rsid w:val="00774A12"/>
    <w:rsid w:val="007A1F06"/>
    <w:rsid w:val="007A3921"/>
    <w:rsid w:val="007B77E5"/>
    <w:rsid w:val="007C0AA9"/>
    <w:rsid w:val="007C0B46"/>
    <w:rsid w:val="007C78CD"/>
    <w:rsid w:val="007D1271"/>
    <w:rsid w:val="007F4F5E"/>
    <w:rsid w:val="00817929"/>
    <w:rsid w:val="00823F4A"/>
    <w:rsid w:val="0083435D"/>
    <w:rsid w:val="00835126"/>
    <w:rsid w:val="008413D3"/>
    <w:rsid w:val="008460A5"/>
    <w:rsid w:val="00851A3E"/>
    <w:rsid w:val="00857333"/>
    <w:rsid w:val="00862D86"/>
    <w:rsid w:val="00871B30"/>
    <w:rsid w:val="00876CC9"/>
    <w:rsid w:val="00881FF1"/>
    <w:rsid w:val="00885F22"/>
    <w:rsid w:val="008956FC"/>
    <w:rsid w:val="008A034F"/>
    <w:rsid w:val="008A41B1"/>
    <w:rsid w:val="008A6867"/>
    <w:rsid w:val="008E26D6"/>
    <w:rsid w:val="008E318C"/>
    <w:rsid w:val="008F2642"/>
    <w:rsid w:val="008F487C"/>
    <w:rsid w:val="00903760"/>
    <w:rsid w:val="00906FD6"/>
    <w:rsid w:val="009148DC"/>
    <w:rsid w:val="00914CFC"/>
    <w:rsid w:val="00932FFA"/>
    <w:rsid w:val="00946686"/>
    <w:rsid w:val="00946A07"/>
    <w:rsid w:val="00950006"/>
    <w:rsid w:val="0095180C"/>
    <w:rsid w:val="00952C7D"/>
    <w:rsid w:val="0095662A"/>
    <w:rsid w:val="00964708"/>
    <w:rsid w:val="00975415"/>
    <w:rsid w:val="009768C1"/>
    <w:rsid w:val="00980190"/>
    <w:rsid w:val="0099586B"/>
    <w:rsid w:val="009B16F9"/>
    <w:rsid w:val="009B351A"/>
    <w:rsid w:val="009C5A1D"/>
    <w:rsid w:val="009C7928"/>
    <w:rsid w:val="009D1CAC"/>
    <w:rsid w:val="009D4277"/>
    <w:rsid w:val="009D4E1C"/>
    <w:rsid w:val="009E3BE5"/>
    <w:rsid w:val="009F080A"/>
    <w:rsid w:val="00A012A8"/>
    <w:rsid w:val="00A07153"/>
    <w:rsid w:val="00A136FF"/>
    <w:rsid w:val="00A264FE"/>
    <w:rsid w:val="00A316C0"/>
    <w:rsid w:val="00A3460B"/>
    <w:rsid w:val="00A44D15"/>
    <w:rsid w:val="00A530F5"/>
    <w:rsid w:val="00A721E6"/>
    <w:rsid w:val="00A741BB"/>
    <w:rsid w:val="00A820A2"/>
    <w:rsid w:val="00A8329A"/>
    <w:rsid w:val="00A85F31"/>
    <w:rsid w:val="00A90F54"/>
    <w:rsid w:val="00A914FF"/>
    <w:rsid w:val="00AD2E94"/>
    <w:rsid w:val="00AF6EEF"/>
    <w:rsid w:val="00B025EE"/>
    <w:rsid w:val="00B07609"/>
    <w:rsid w:val="00B116FE"/>
    <w:rsid w:val="00B174B5"/>
    <w:rsid w:val="00B24E8D"/>
    <w:rsid w:val="00B46034"/>
    <w:rsid w:val="00B46541"/>
    <w:rsid w:val="00B46B64"/>
    <w:rsid w:val="00B719A4"/>
    <w:rsid w:val="00B74F5F"/>
    <w:rsid w:val="00B8213A"/>
    <w:rsid w:val="00BB1A5C"/>
    <w:rsid w:val="00BC51F3"/>
    <w:rsid w:val="00BD2777"/>
    <w:rsid w:val="00BE32F6"/>
    <w:rsid w:val="00BE526B"/>
    <w:rsid w:val="00BF2776"/>
    <w:rsid w:val="00C12181"/>
    <w:rsid w:val="00C12F56"/>
    <w:rsid w:val="00C46871"/>
    <w:rsid w:val="00C52422"/>
    <w:rsid w:val="00C5597B"/>
    <w:rsid w:val="00C56331"/>
    <w:rsid w:val="00C61BD1"/>
    <w:rsid w:val="00C718AA"/>
    <w:rsid w:val="00C74D8F"/>
    <w:rsid w:val="00C87AC5"/>
    <w:rsid w:val="00C95F1C"/>
    <w:rsid w:val="00CA5B85"/>
    <w:rsid w:val="00CB32CC"/>
    <w:rsid w:val="00CB572F"/>
    <w:rsid w:val="00CB5907"/>
    <w:rsid w:val="00CB69B1"/>
    <w:rsid w:val="00CC1E7F"/>
    <w:rsid w:val="00CF207F"/>
    <w:rsid w:val="00D30349"/>
    <w:rsid w:val="00D31BD3"/>
    <w:rsid w:val="00D32E31"/>
    <w:rsid w:val="00D43E3C"/>
    <w:rsid w:val="00D463EB"/>
    <w:rsid w:val="00D60B77"/>
    <w:rsid w:val="00D64B7F"/>
    <w:rsid w:val="00D96EED"/>
    <w:rsid w:val="00D97846"/>
    <w:rsid w:val="00DA08E3"/>
    <w:rsid w:val="00DA69C7"/>
    <w:rsid w:val="00DC280B"/>
    <w:rsid w:val="00DD3788"/>
    <w:rsid w:val="00DD5500"/>
    <w:rsid w:val="00DD5DB0"/>
    <w:rsid w:val="00DE123A"/>
    <w:rsid w:val="00DE4B6D"/>
    <w:rsid w:val="00DF28A5"/>
    <w:rsid w:val="00DF6784"/>
    <w:rsid w:val="00E13409"/>
    <w:rsid w:val="00E2343D"/>
    <w:rsid w:val="00E427EB"/>
    <w:rsid w:val="00E7153C"/>
    <w:rsid w:val="00E8576E"/>
    <w:rsid w:val="00E85BE7"/>
    <w:rsid w:val="00E86DDB"/>
    <w:rsid w:val="00E912DA"/>
    <w:rsid w:val="00E93FA1"/>
    <w:rsid w:val="00E97558"/>
    <w:rsid w:val="00EB02CB"/>
    <w:rsid w:val="00EB4FAB"/>
    <w:rsid w:val="00EB5A72"/>
    <w:rsid w:val="00F03A28"/>
    <w:rsid w:val="00F068B4"/>
    <w:rsid w:val="00F10C8F"/>
    <w:rsid w:val="00F23608"/>
    <w:rsid w:val="00F40B92"/>
    <w:rsid w:val="00F676E0"/>
    <w:rsid w:val="00F67786"/>
    <w:rsid w:val="00F67953"/>
    <w:rsid w:val="00F72C26"/>
    <w:rsid w:val="00F92EB4"/>
    <w:rsid w:val="00F964D1"/>
    <w:rsid w:val="00FB2341"/>
    <w:rsid w:val="00FC1EFB"/>
    <w:rsid w:val="00FD6784"/>
    <w:rsid w:val="00FD73AF"/>
    <w:rsid w:val="00FE0BE6"/>
    <w:rsid w:val="00FF25E7"/>
    <w:rsid w:val="00FF46F9"/>
    <w:rsid w:val="00FF4830"/>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E7B0"/>
  <w15:docId w15:val="{F2A5A8B9-77A5-4803-B4CC-C5670FED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97B"/>
    <w:rPr>
      <w:sz w:val="24"/>
      <w:szCs w:val="24"/>
      <w:lang w:val="en-GB"/>
    </w:rPr>
  </w:style>
  <w:style w:type="paragraph" w:styleId="Heading1">
    <w:name w:val="heading 1"/>
    <w:basedOn w:val="Normal"/>
    <w:next w:val="Normal"/>
    <w:qFormat/>
    <w:rsid w:val="00C5597B"/>
    <w:pPr>
      <w:keepNext/>
      <w:outlineLvl w:val="0"/>
    </w:pPr>
    <w:rPr>
      <w:i/>
      <w:iCs/>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597B"/>
    <w:pPr>
      <w:jc w:val="both"/>
    </w:pPr>
    <w:rPr>
      <w:b/>
      <w:bCs/>
      <w:lang w:val="de-CH"/>
    </w:rPr>
  </w:style>
  <w:style w:type="paragraph" w:styleId="Header">
    <w:name w:val="header"/>
    <w:basedOn w:val="Normal"/>
    <w:link w:val="HeaderChar"/>
    <w:uiPriority w:val="99"/>
    <w:rsid w:val="003314D7"/>
    <w:pPr>
      <w:tabs>
        <w:tab w:val="center" w:pos="4703"/>
        <w:tab w:val="right" w:pos="9406"/>
      </w:tabs>
    </w:pPr>
  </w:style>
  <w:style w:type="character" w:customStyle="1" w:styleId="HeaderChar">
    <w:name w:val="Header Char"/>
    <w:basedOn w:val="DefaultParagraphFont"/>
    <w:link w:val="Header"/>
    <w:uiPriority w:val="99"/>
    <w:rsid w:val="003314D7"/>
    <w:rPr>
      <w:sz w:val="24"/>
      <w:szCs w:val="24"/>
      <w:lang w:val="en-GB"/>
    </w:rPr>
  </w:style>
  <w:style w:type="paragraph" w:styleId="Footer">
    <w:name w:val="footer"/>
    <w:basedOn w:val="Normal"/>
    <w:link w:val="FooterChar"/>
    <w:uiPriority w:val="99"/>
    <w:rsid w:val="003314D7"/>
    <w:pPr>
      <w:tabs>
        <w:tab w:val="center" w:pos="4703"/>
        <w:tab w:val="right" w:pos="9406"/>
      </w:tabs>
    </w:pPr>
  </w:style>
  <w:style w:type="character" w:customStyle="1" w:styleId="FooterChar">
    <w:name w:val="Footer Char"/>
    <w:basedOn w:val="DefaultParagraphFont"/>
    <w:link w:val="Footer"/>
    <w:uiPriority w:val="99"/>
    <w:rsid w:val="003314D7"/>
    <w:rPr>
      <w:sz w:val="24"/>
      <w:szCs w:val="24"/>
      <w:lang w:val="en-GB"/>
    </w:rPr>
  </w:style>
  <w:style w:type="paragraph" w:styleId="BalloonText">
    <w:name w:val="Balloon Text"/>
    <w:basedOn w:val="Normal"/>
    <w:link w:val="BalloonTextChar"/>
    <w:rsid w:val="003314D7"/>
    <w:rPr>
      <w:rFonts w:ascii="Tahoma" w:hAnsi="Tahoma" w:cs="Tahoma"/>
      <w:sz w:val="16"/>
      <w:szCs w:val="16"/>
    </w:rPr>
  </w:style>
  <w:style w:type="character" w:customStyle="1" w:styleId="BalloonTextChar">
    <w:name w:val="Balloon Text Char"/>
    <w:basedOn w:val="DefaultParagraphFont"/>
    <w:link w:val="BalloonText"/>
    <w:rsid w:val="003314D7"/>
    <w:rPr>
      <w:rFonts w:ascii="Tahoma" w:hAnsi="Tahoma" w:cs="Tahoma"/>
      <w:sz w:val="16"/>
      <w:szCs w:val="16"/>
      <w:lang w:val="en-GB"/>
    </w:rPr>
  </w:style>
  <w:style w:type="character" w:customStyle="1" w:styleId="BodyTextChar">
    <w:name w:val="Body Text Char"/>
    <w:basedOn w:val="DefaultParagraphFont"/>
    <w:link w:val="BodyText"/>
    <w:rsid w:val="00124226"/>
    <w:rPr>
      <w:b/>
      <w:bCs/>
      <w:sz w:val="24"/>
      <w:szCs w:val="24"/>
      <w:lang w:val="de-CH"/>
    </w:rPr>
  </w:style>
  <w:style w:type="character" w:styleId="Hyperlink">
    <w:name w:val="Hyperlink"/>
    <w:basedOn w:val="DefaultParagraphFont"/>
    <w:uiPriority w:val="99"/>
    <w:unhideWhenUsed/>
    <w:rsid w:val="0012651C"/>
    <w:rPr>
      <w:color w:val="0000FF"/>
      <w:u w:val="single"/>
    </w:rPr>
  </w:style>
  <w:style w:type="character" w:styleId="UnresolvedMention">
    <w:name w:val="Unresolved Mention"/>
    <w:basedOn w:val="DefaultParagraphFont"/>
    <w:uiPriority w:val="99"/>
    <w:semiHidden/>
    <w:unhideWhenUsed/>
    <w:rsid w:val="00052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13120">
      <w:bodyDiv w:val="1"/>
      <w:marLeft w:val="0"/>
      <w:marRight w:val="0"/>
      <w:marTop w:val="0"/>
      <w:marBottom w:val="0"/>
      <w:divBdr>
        <w:top w:val="none" w:sz="0" w:space="0" w:color="auto"/>
        <w:left w:val="none" w:sz="0" w:space="0" w:color="auto"/>
        <w:bottom w:val="none" w:sz="0" w:space="0" w:color="auto"/>
        <w:right w:val="none" w:sz="0" w:space="0" w:color="auto"/>
      </w:divBdr>
    </w:div>
    <w:div w:id="790132370">
      <w:bodyDiv w:val="1"/>
      <w:marLeft w:val="0"/>
      <w:marRight w:val="0"/>
      <w:marTop w:val="0"/>
      <w:marBottom w:val="0"/>
      <w:divBdr>
        <w:top w:val="none" w:sz="0" w:space="0" w:color="auto"/>
        <w:left w:val="none" w:sz="0" w:space="0" w:color="auto"/>
        <w:bottom w:val="none" w:sz="0" w:space="0" w:color="auto"/>
        <w:right w:val="none" w:sz="0" w:space="0" w:color="auto"/>
      </w:divBdr>
    </w:div>
    <w:div w:id="1226647301">
      <w:bodyDiv w:val="1"/>
      <w:marLeft w:val="0"/>
      <w:marRight w:val="0"/>
      <w:marTop w:val="0"/>
      <w:marBottom w:val="0"/>
      <w:divBdr>
        <w:top w:val="none" w:sz="0" w:space="0" w:color="auto"/>
        <w:left w:val="none" w:sz="0" w:space="0" w:color="auto"/>
        <w:bottom w:val="none" w:sz="0" w:space="0" w:color="auto"/>
        <w:right w:val="none" w:sz="0" w:space="0" w:color="auto"/>
      </w:divBdr>
      <w:divsChild>
        <w:div w:id="647511303">
          <w:marLeft w:val="0"/>
          <w:marRight w:val="0"/>
          <w:marTop w:val="0"/>
          <w:marBottom w:val="0"/>
          <w:divBdr>
            <w:top w:val="none" w:sz="0" w:space="0" w:color="auto"/>
            <w:left w:val="none" w:sz="0" w:space="0" w:color="auto"/>
            <w:bottom w:val="none" w:sz="0" w:space="0" w:color="auto"/>
            <w:right w:val="none" w:sz="0" w:space="0" w:color="auto"/>
          </w:divBdr>
          <w:divsChild>
            <w:div w:id="363405759">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wissmedicinfo.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2012-10-03T00:00:00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2E0D6C52D404B954442D564E80621" ma:contentTypeVersion="17" ma:contentTypeDescription="Create a new document." ma:contentTypeScope="" ma:versionID="fc5cfe7e404cc91b035287f7cd6bbe5b">
  <xsd:schema xmlns:xsd="http://www.w3.org/2001/XMLSchema" xmlns:xs="http://www.w3.org/2001/XMLSchema" xmlns:p="http://schemas.microsoft.com/office/2006/metadata/properties" xmlns:ns2="c23645ec-25cb-41f8-9e99-90ff87cb74ba" xmlns:ns3="2ffc0bb4-c465-441e-9597-417e7db4d99d" targetNamespace="http://schemas.microsoft.com/office/2006/metadata/properties" ma:root="true" ma:fieldsID="8190afb63042b3c0b4165fa8ecf665f0" ns2:_="" ns3:_="">
    <xsd:import namespace="c23645ec-25cb-41f8-9e99-90ff87cb74ba"/>
    <xsd:import namespace="2ffc0bb4-c465-441e-9597-417e7db4d9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645ec-25cb-41f8-9e99-90ff87cb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3c2da0-965e-4c49-9e20-3f755483406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fc0bb4-c465-441e-9597-417e7db4d9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87c8db-c950-4f1f-8059-afe24e577dd0}" ma:internalName="TaxCatchAll" ma:showField="CatchAllData" ma:web="2ffc0bb4-c465-441e-9597-417e7db4d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cf76f155ced4ddcb4097134ff3c332f xmlns="c23645ec-25cb-41f8-9e99-90ff87cb74ba">
      <Terms xmlns="http://schemas.microsoft.com/office/infopath/2007/PartnerControls"/>
    </lcf76f155ced4ddcb4097134ff3c332f>
    <TaxCatchAll xmlns="2ffc0bb4-c465-441e-9597-417e7db4d99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58CA97-9266-4535-8BE1-BFF3EADB8BB6}"/>
</file>

<file path=customXml/itemProps3.xml><?xml version="1.0" encoding="utf-8"?>
<ds:datastoreItem xmlns:ds="http://schemas.openxmlformats.org/officeDocument/2006/customXml" ds:itemID="{4099E912-B2F6-4D89-B3F4-1FB227421C79}">
  <ds:schemaRefs>
    <ds:schemaRef ds:uri="http://schemas.openxmlformats.org/officeDocument/2006/bibliography"/>
  </ds:schemaRefs>
</ds:datastoreItem>
</file>

<file path=customXml/itemProps4.xml><?xml version="1.0" encoding="utf-8"?>
<ds:datastoreItem xmlns:ds="http://schemas.openxmlformats.org/officeDocument/2006/customXml" ds:itemID="{30927053-6307-46C3-8552-17F7AC7B4CD9}">
  <ds:schemaRefs>
    <ds:schemaRef ds:uri="http://schemas.microsoft.com/sharepoint/v3/contenttype/forms"/>
  </ds:schemaRefs>
</ds:datastoreItem>
</file>

<file path=customXml/itemProps5.xml><?xml version="1.0" encoding="utf-8"?>
<ds:datastoreItem xmlns:ds="http://schemas.openxmlformats.org/officeDocument/2006/customXml" ds:itemID="{DDAAB66B-9967-4A05-B9A3-46F14414AD39}">
  <ds:schemaRefs>
    <ds:schemaRef ds:uri="http://schemas.microsoft.com/office/2006/metadata/properties"/>
    <ds:schemaRef ds:uri="f32f38f4-f640-499f-a6c5-41bfa3484e7c"/>
    <ds:schemaRef ds:uri="http://schemas.microsoft.com/office/infopath/2007/PartnerControls"/>
    <ds:schemaRef ds:uri="1d90194e-75d1-41a4-acda-160053378f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3527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 – FR - EN</vt:lpstr>
      <vt:lpstr>DE – FR - EN</vt:lpstr>
    </vt:vector>
  </TitlesOfParts>
  <Company>Allergan AB</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 FR - EN</dc:title>
  <dc:creator>PFC</dc:creator>
  <cp:lastModifiedBy>Voigt, Katrin-Caroline</cp:lastModifiedBy>
  <cp:revision>2</cp:revision>
  <cp:lastPrinted>2017-07-26T11:17:00Z</cp:lastPrinted>
  <dcterms:created xsi:type="dcterms:W3CDTF">2023-08-08T07:07:00Z</dcterms:created>
  <dcterms:modified xsi:type="dcterms:W3CDTF">2023-08-08T07:07:00Z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0x01010095A2E0D6C52D404B954442D564E80621</vt:lpwstr>
  </property>
  <property fmtid="{D5CDD505-2E9C-101B-9397-08002B2CF9AE}" pid="3" name="Order">
    <vt:r8>41929800</vt:r8>
  </property>
  <property fmtid="{D5CDD505-2E9C-101B-9397-08002B2CF9AE}" pid="4" name="MediaServiceImageTags">
    <vt:lpwstr/>
  </property>
</Properties>
</file>