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E7B5" w14:textId="1D32FEE6" w:rsidR="00124226" w:rsidRPr="001262E1" w:rsidRDefault="00124226" w:rsidP="001262E1">
      <w:pPr>
        <w:spacing w:line="276" w:lineRule="auto"/>
        <w:jc w:val="both"/>
        <w:rPr>
          <w:rFonts w:ascii="Arial" w:hAnsi="Arial" w:cs="Arial"/>
          <w:sz w:val="20"/>
          <w:szCs w:val="20"/>
          <w:lang w:val="de-CH" w:eastAsia="de-CH"/>
        </w:rPr>
      </w:pPr>
    </w:p>
    <w:p w14:paraId="583E3185" w14:textId="77777777" w:rsidR="002549AE" w:rsidRPr="001262E1" w:rsidRDefault="002549AE" w:rsidP="001262E1">
      <w:pPr>
        <w:shd w:val="clear" w:color="auto" w:fill="FFFFFF"/>
        <w:spacing w:line="276" w:lineRule="auto"/>
        <w:ind w:left="10"/>
        <w:jc w:val="both"/>
        <w:rPr>
          <w:rFonts w:ascii="Arial" w:hAnsi="Arial" w:cs="Arial"/>
          <w:sz w:val="20"/>
          <w:szCs w:val="20"/>
          <w:lang w:val="fr-FR"/>
        </w:rPr>
      </w:pPr>
    </w:p>
    <w:p w14:paraId="5258C1DF" w14:textId="490B8705" w:rsidR="002549AE" w:rsidRPr="00562282" w:rsidRDefault="001262E1" w:rsidP="001262E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562282">
        <w:rPr>
          <w:rFonts w:ascii="Arial" w:hAnsi="Arial" w:cs="Arial"/>
          <w:b/>
          <w:bCs/>
          <w:color w:val="000000"/>
          <w:sz w:val="20"/>
          <w:szCs w:val="20"/>
          <w:highlight w:val="lightGray"/>
          <w:lang w:val="en-US"/>
        </w:rPr>
        <w:t>Succinct Statement</w:t>
      </w:r>
      <w:r w:rsidR="002549AE" w:rsidRPr="00562282">
        <w:rPr>
          <w:rFonts w:ascii="Arial" w:hAnsi="Arial" w:cs="Arial"/>
          <w:b/>
          <w:bCs/>
          <w:color w:val="000000"/>
          <w:sz w:val="20"/>
          <w:szCs w:val="20"/>
          <w:highlight w:val="lightGray"/>
          <w:lang w:val="en-US"/>
        </w:rPr>
        <w:t xml:space="preserve"> BOTOX</w:t>
      </w:r>
      <w:r w:rsidR="002549AE" w:rsidRPr="00562282">
        <w:rPr>
          <w:rFonts w:ascii="Arial" w:hAnsi="Arial" w:cs="Arial"/>
          <w:b/>
          <w:bCs/>
          <w:color w:val="000000"/>
          <w:sz w:val="20"/>
          <w:szCs w:val="20"/>
          <w:highlight w:val="lightGray"/>
          <w:vertAlign w:val="superscript"/>
          <w:lang w:val="en-US"/>
        </w:rPr>
        <w:t>®</w:t>
      </w:r>
      <w:r w:rsidR="002549AE" w:rsidRPr="00562282">
        <w:rPr>
          <w:rFonts w:ascii="Arial" w:hAnsi="Arial" w:cs="Arial"/>
          <w:b/>
          <w:bCs/>
          <w:color w:val="000000"/>
          <w:sz w:val="20"/>
          <w:szCs w:val="20"/>
          <w:highlight w:val="lightGray"/>
          <w:lang w:val="en-US"/>
        </w:rPr>
        <w:t xml:space="preserve"> </w:t>
      </w:r>
      <w:r w:rsidR="00044417" w:rsidRPr="00562282">
        <w:rPr>
          <w:rFonts w:ascii="Arial" w:hAnsi="Arial" w:cs="Arial"/>
          <w:color w:val="000000"/>
          <w:sz w:val="20"/>
          <w:szCs w:val="20"/>
          <w:highlight w:val="lightGray"/>
          <w:lang w:val="en-US"/>
        </w:rPr>
        <w:t>(</w:t>
      </w:r>
      <w:proofErr w:type="spellStart"/>
      <w:r w:rsidR="00044417" w:rsidRPr="00B305D7">
        <w:rPr>
          <w:rFonts w:ascii="Arial" w:hAnsi="Arial" w:cs="Arial"/>
          <w:color w:val="000000"/>
          <w:sz w:val="20"/>
          <w:highlight w:val="lightGray"/>
          <w:lang w:val="x-none"/>
        </w:rPr>
        <w:t>Toxinum</w:t>
      </w:r>
      <w:proofErr w:type="spellEnd"/>
      <w:r w:rsidR="00044417" w:rsidRPr="00B305D7">
        <w:rPr>
          <w:rFonts w:ascii="Arial" w:hAnsi="Arial" w:cs="Arial"/>
          <w:color w:val="000000"/>
          <w:sz w:val="20"/>
          <w:highlight w:val="lightGray"/>
          <w:lang w:val="x-none"/>
        </w:rPr>
        <w:t xml:space="preserve"> </w:t>
      </w:r>
      <w:proofErr w:type="spellStart"/>
      <w:r w:rsidR="00044417" w:rsidRPr="00B305D7">
        <w:rPr>
          <w:rFonts w:ascii="Arial" w:hAnsi="Arial" w:cs="Arial"/>
          <w:color w:val="000000"/>
          <w:sz w:val="20"/>
          <w:highlight w:val="lightGray"/>
          <w:lang w:val="x-none"/>
        </w:rPr>
        <w:t>botulinicum</w:t>
      </w:r>
      <w:proofErr w:type="spellEnd"/>
      <w:r w:rsidR="00044417" w:rsidRPr="00B305D7">
        <w:rPr>
          <w:rFonts w:ascii="Arial" w:hAnsi="Arial" w:cs="Arial"/>
          <w:color w:val="000000"/>
          <w:sz w:val="20"/>
          <w:highlight w:val="lightGray"/>
          <w:lang w:val="x-none"/>
        </w:rPr>
        <w:t xml:space="preserve"> </w:t>
      </w:r>
      <w:proofErr w:type="gramStart"/>
      <w:r w:rsidR="00044417" w:rsidRPr="00B305D7">
        <w:rPr>
          <w:rFonts w:ascii="Arial" w:hAnsi="Arial" w:cs="Arial"/>
          <w:color w:val="000000"/>
          <w:sz w:val="20"/>
          <w:highlight w:val="lightGray"/>
          <w:lang w:val="x-none"/>
        </w:rPr>
        <w:t xml:space="preserve">A </w:t>
      </w:r>
      <w:r w:rsidR="00044417" w:rsidRPr="00B305D7">
        <w:rPr>
          <w:rFonts w:ascii="Arial" w:hAnsi="Arial" w:cs="Arial"/>
          <w:color w:val="000000"/>
          <w:sz w:val="20"/>
          <w:highlight w:val="lightGray"/>
          <w:lang w:val="en-US"/>
        </w:rPr>
        <w:t>)</w:t>
      </w:r>
      <w:proofErr w:type="gramEnd"/>
      <w:r w:rsidR="00044417" w:rsidRPr="00B305D7">
        <w:rPr>
          <w:rFonts w:ascii="Arial" w:hAnsi="Arial" w:cs="Arial"/>
          <w:color w:val="000000"/>
          <w:sz w:val="20"/>
          <w:highlight w:val="lightGray"/>
          <w:lang w:val="en-US"/>
        </w:rPr>
        <w:t xml:space="preserve"> </w:t>
      </w:r>
      <w:r w:rsidR="002646A6">
        <w:rPr>
          <w:rFonts w:ascii="Arial" w:hAnsi="Arial" w:cs="Arial"/>
          <w:color w:val="000000"/>
          <w:sz w:val="20"/>
          <w:highlight w:val="lightGray"/>
          <w:lang w:val="en-US"/>
        </w:rPr>
        <w:t xml:space="preserve">50 and </w:t>
      </w:r>
      <w:r w:rsidR="002549AE" w:rsidRPr="00562282">
        <w:rPr>
          <w:rFonts w:ascii="Arial" w:hAnsi="Arial" w:cs="Arial"/>
          <w:color w:val="000000"/>
          <w:sz w:val="20"/>
          <w:szCs w:val="20"/>
          <w:highlight w:val="lightGray"/>
          <w:lang w:val="en-US"/>
        </w:rPr>
        <w:t>100 Allergan-Units</w:t>
      </w:r>
    </w:p>
    <w:p w14:paraId="0609F358" w14:textId="77777777" w:rsidR="00576EED" w:rsidRPr="00562282" w:rsidRDefault="00576EED" w:rsidP="001262E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6ECF1D16" w14:textId="582F44FC" w:rsidR="007A0B01" w:rsidRPr="0010399F" w:rsidRDefault="002549AE" w:rsidP="00F078FA">
      <w:pPr>
        <w:shd w:val="clear" w:color="auto" w:fill="FFFFFF"/>
        <w:spacing w:line="276" w:lineRule="auto"/>
        <w:ind w:left="10"/>
        <w:jc w:val="both"/>
        <w:rPr>
          <w:rFonts w:ascii="Arial" w:hAnsi="Arial" w:cs="Arial"/>
          <w:sz w:val="20"/>
          <w:szCs w:val="20"/>
          <w:lang w:val="en-US"/>
        </w:rPr>
      </w:pPr>
      <w:r w:rsidRPr="001262E1">
        <w:rPr>
          <w:rFonts w:ascii="Arial" w:hAnsi="Arial" w:cs="Arial"/>
          <w:b/>
          <w:bCs/>
          <w:sz w:val="20"/>
          <w:szCs w:val="20"/>
          <w:lang w:val="en-US"/>
        </w:rPr>
        <w:t>I:</w:t>
      </w:r>
      <w:r w:rsidRPr="001262E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2C11DE">
        <w:rPr>
          <w:rFonts w:ascii="Arial" w:hAnsi="Arial" w:cs="Arial"/>
          <w:bCs/>
          <w:sz w:val="20"/>
          <w:szCs w:val="20"/>
          <w:lang w:val="en-US"/>
        </w:rPr>
        <w:t xml:space="preserve">Neurology: </w:t>
      </w:r>
      <w:r w:rsidRPr="001262E1">
        <w:rPr>
          <w:rFonts w:ascii="Arial" w:hAnsi="Arial" w:cs="Arial"/>
          <w:color w:val="000000"/>
          <w:sz w:val="20"/>
          <w:szCs w:val="20"/>
          <w:lang w:val="en-US"/>
        </w:rPr>
        <w:t xml:space="preserve">Symptomatic </w:t>
      </w:r>
      <w:r w:rsidRPr="0010399F">
        <w:rPr>
          <w:rFonts w:ascii="Arial" w:hAnsi="Arial" w:cs="Arial"/>
          <w:sz w:val="20"/>
          <w:szCs w:val="20"/>
          <w:lang w:val="en-US"/>
        </w:rPr>
        <w:t xml:space="preserve">management of blepharospasm, hemifacial spasm and associated focal </w:t>
      </w:r>
      <w:proofErr w:type="spellStart"/>
      <w:r w:rsidRPr="0010399F">
        <w:rPr>
          <w:rFonts w:ascii="Arial" w:hAnsi="Arial" w:cs="Arial"/>
          <w:sz w:val="20"/>
          <w:szCs w:val="20"/>
          <w:lang w:val="en-US"/>
        </w:rPr>
        <w:t>dystonias</w:t>
      </w:r>
      <w:proofErr w:type="spellEnd"/>
      <w:r w:rsidRPr="0010399F">
        <w:rPr>
          <w:rFonts w:ascii="Arial" w:hAnsi="Arial" w:cs="Arial"/>
          <w:sz w:val="20"/>
          <w:szCs w:val="20"/>
          <w:lang w:val="en-US"/>
        </w:rPr>
        <w:t>, for correction of strabismus in patients older than 12 years</w:t>
      </w:r>
      <w:r w:rsidR="002C7D7B" w:rsidRPr="0010399F">
        <w:rPr>
          <w:rFonts w:ascii="Arial" w:hAnsi="Arial" w:cs="Arial"/>
          <w:sz w:val="20"/>
          <w:szCs w:val="20"/>
          <w:lang w:val="en-US"/>
        </w:rPr>
        <w:t>.</w:t>
      </w:r>
      <w:r w:rsidRPr="0010399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FE29E4" w:rsidRPr="0010399F">
        <w:rPr>
          <w:rFonts w:ascii="Arial" w:hAnsi="Arial" w:cs="Arial"/>
          <w:sz w:val="20"/>
          <w:szCs w:val="20"/>
          <w:lang w:val="en-US"/>
        </w:rPr>
        <w:t>C</w:t>
      </w:r>
      <w:r w:rsidRPr="0010399F">
        <w:rPr>
          <w:rFonts w:ascii="Arial" w:hAnsi="Arial" w:cs="Arial"/>
          <w:sz w:val="20"/>
          <w:szCs w:val="20"/>
          <w:lang w:val="en-US"/>
        </w:rPr>
        <w:t xml:space="preserve">ervical dystonia (spasmodic torticollis) in adults,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symptomatic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treatment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of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focal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spasticity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of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the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upper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and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lower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limbs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in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adults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, </w:t>
      </w:r>
      <w:proofErr w:type="spellStart"/>
      <w:proofErr w:type="gramStart"/>
      <w:r w:rsidR="00044417" w:rsidRPr="0010399F">
        <w:rPr>
          <w:rFonts w:ascii="Arial" w:hAnsi="Arial" w:cs="Arial"/>
          <w:sz w:val="20"/>
          <w:lang w:val="x-none"/>
        </w:rPr>
        <w:t>adolescents</w:t>
      </w:r>
      <w:proofErr w:type="spellEnd"/>
      <w:proofErr w:type="gram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and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children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from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2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years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of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age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and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044417" w:rsidRPr="0010399F">
        <w:rPr>
          <w:rFonts w:ascii="Arial" w:hAnsi="Arial" w:cs="Arial"/>
          <w:sz w:val="20"/>
          <w:lang w:val="x-none"/>
        </w:rPr>
        <w:t>older</w:t>
      </w:r>
      <w:proofErr w:type="spellEnd"/>
      <w:r w:rsidR="00044417" w:rsidRPr="0010399F">
        <w:rPr>
          <w:rFonts w:ascii="Arial" w:hAnsi="Arial" w:cs="Arial"/>
          <w:sz w:val="20"/>
          <w:lang w:val="x-none"/>
        </w:rPr>
        <w:t xml:space="preserve">. </w:t>
      </w:r>
      <w:proofErr w:type="spellStart"/>
      <w:r w:rsidR="006B71C8" w:rsidRPr="0010399F">
        <w:rPr>
          <w:rFonts w:ascii="Arial" w:hAnsi="Arial" w:cs="Arial"/>
          <w:sz w:val="20"/>
          <w:lang w:val="x-none"/>
        </w:rPr>
        <w:t>Prophylaxis</w:t>
      </w:r>
      <w:proofErr w:type="spellEnd"/>
      <w:r w:rsidR="006B71C8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6B71C8" w:rsidRPr="0010399F">
        <w:rPr>
          <w:rFonts w:ascii="Arial" w:hAnsi="Arial" w:cs="Arial"/>
          <w:sz w:val="20"/>
          <w:lang w:val="x-none"/>
        </w:rPr>
        <w:t>of</w:t>
      </w:r>
      <w:proofErr w:type="spellEnd"/>
      <w:r w:rsidR="006B71C8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6B71C8" w:rsidRPr="0010399F">
        <w:rPr>
          <w:rFonts w:ascii="Arial" w:hAnsi="Arial" w:cs="Arial"/>
          <w:sz w:val="20"/>
          <w:lang w:val="x-none"/>
        </w:rPr>
        <w:t>headache</w:t>
      </w:r>
      <w:proofErr w:type="spellEnd"/>
      <w:r w:rsidR="006B71C8" w:rsidRPr="0010399F">
        <w:rPr>
          <w:rFonts w:ascii="Arial" w:hAnsi="Arial" w:cs="Arial"/>
          <w:sz w:val="20"/>
          <w:lang w:val="x-none"/>
        </w:rPr>
        <w:t xml:space="preserve"> in adult </w:t>
      </w:r>
      <w:proofErr w:type="spellStart"/>
      <w:r w:rsidR="006B71C8" w:rsidRPr="0010399F">
        <w:rPr>
          <w:rFonts w:ascii="Arial" w:hAnsi="Arial" w:cs="Arial"/>
          <w:sz w:val="20"/>
          <w:lang w:val="x-none"/>
        </w:rPr>
        <w:t>patients</w:t>
      </w:r>
      <w:proofErr w:type="spellEnd"/>
      <w:r w:rsidR="006B71C8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6B71C8" w:rsidRPr="0010399F">
        <w:rPr>
          <w:rFonts w:ascii="Arial" w:hAnsi="Arial" w:cs="Arial"/>
          <w:sz w:val="20"/>
          <w:lang w:val="x-none"/>
        </w:rPr>
        <w:t>with</w:t>
      </w:r>
      <w:proofErr w:type="spellEnd"/>
      <w:r w:rsidR="006B71C8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6B71C8" w:rsidRPr="0010399F">
        <w:rPr>
          <w:rFonts w:ascii="Arial" w:hAnsi="Arial" w:cs="Arial"/>
          <w:sz w:val="20"/>
          <w:lang w:val="x-none"/>
        </w:rPr>
        <w:t>chronic</w:t>
      </w:r>
      <w:proofErr w:type="spellEnd"/>
      <w:r w:rsidR="006B71C8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6B71C8" w:rsidRPr="0010399F">
        <w:rPr>
          <w:rFonts w:ascii="Arial" w:hAnsi="Arial" w:cs="Arial"/>
          <w:sz w:val="20"/>
          <w:lang w:val="x-none"/>
        </w:rPr>
        <w:t>migraine</w:t>
      </w:r>
      <w:proofErr w:type="spellEnd"/>
      <w:r w:rsidR="006B71C8" w:rsidRPr="0010399F">
        <w:rPr>
          <w:rFonts w:ascii="Arial" w:hAnsi="Arial" w:cs="Arial"/>
          <w:sz w:val="20"/>
          <w:lang w:val="x-none"/>
        </w:rPr>
        <w:t xml:space="preserve">. </w:t>
      </w:r>
      <w:r w:rsidR="002C11DE" w:rsidRPr="0010399F">
        <w:rPr>
          <w:rFonts w:ascii="Arial" w:hAnsi="Arial" w:cs="Arial"/>
          <w:sz w:val="20"/>
          <w:lang w:val="en-US"/>
        </w:rPr>
        <w:t>Skin: P</w:t>
      </w:r>
      <w:r w:rsidRPr="0010399F">
        <w:rPr>
          <w:rFonts w:ascii="Arial" w:hAnsi="Arial" w:cs="Arial"/>
          <w:sz w:val="20"/>
          <w:szCs w:val="20"/>
          <w:lang w:val="en-US"/>
        </w:rPr>
        <w:t>rimary hyperhidrosis of the axillae</w:t>
      </w:r>
      <w:r w:rsidR="002C11DE" w:rsidRPr="0010399F">
        <w:rPr>
          <w:rFonts w:ascii="Arial" w:hAnsi="Arial" w:cs="Arial"/>
          <w:sz w:val="20"/>
          <w:szCs w:val="20"/>
          <w:lang w:val="en-US"/>
        </w:rPr>
        <w:t xml:space="preserve"> in adults. Bladder:</w:t>
      </w:r>
      <w:r w:rsidRPr="0010399F">
        <w:rPr>
          <w:rFonts w:ascii="Arial" w:hAnsi="Arial" w:cs="Arial"/>
          <w:sz w:val="20"/>
          <w:szCs w:val="20"/>
          <w:lang w:val="en-US"/>
        </w:rPr>
        <w:t xml:space="preserve"> </w:t>
      </w:r>
      <w:r w:rsidR="002C11DE" w:rsidRPr="0010399F">
        <w:rPr>
          <w:rFonts w:ascii="Arial" w:hAnsi="Arial" w:cs="Arial"/>
          <w:sz w:val="20"/>
          <w:szCs w:val="20"/>
          <w:lang w:val="en-US"/>
        </w:rPr>
        <w:t>O</w:t>
      </w:r>
      <w:r w:rsidRPr="0010399F">
        <w:rPr>
          <w:rFonts w:ascii="Arial" w:hAnsi="Arial" w:cs="Arial"/>
          <w:sz w:val="20"/>
          <w:szCs w:val="20"/>
          <w:lang w:val="en-US"/>
        </w:rPr>
        <w:t>veractive bladder with symptoms of urinary incontinence, urgency and frequency in adult patients who have an inadequate response to, or are intolerant of, anticholinergic medication</w:t>
      </w:r>
      <w:r w:rsidR="002C7D7B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262E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2C7D7B">
        <w:rPr>
          <w:rFonts w:ascii="Arial" w:hAnsi="Arial" w:cs="Arial"/>
          <w:color w:val="000000"/>
          <w:sz w:val="20"/>
          <w:szCs w:val="20"/>
          <w:lang w:val="en-US"/>
        </w:rPr>
        <w:t>U</w:t>
      </w:r>
      <w:r w:rsidRPr="001262E1">
        <w:rPr>
          <w:rFonts w:ascii="Arial" w:hAnsi="Arial" w:cs="Arial"/>
          <w:color w:val="000000"/>
          <w:sz w:val="20"/>
          <w:szCs w:val="20"/>
          <w:lang w:val="en-US"/>
        </w:rPr>
        <w:t>rinary incontinence due to neurogenic detrusor overactivity associated with a neurologic condition (such as spinal cord injury, multiple sclerosis)</w:t>
      </w:r>
      <w:r w:rsidR="00E90FD4">
        <w:rPr>
          <w:rFonts w:ascii="Arial" w:hAnsi="Arial" w:cs="Arial"/>
          <w:color w:val="000000"/>
          <w:sz w:val="20"/>
          <w:szCs w:val="20"/>
          <w:lang w:val="en-US"/>
        </w:rPr>
        <w:t xml:space="preserve"> in adults</w:t>
      </w:r>
      <w:r w:rsidRPr="001262E1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="00384DF8">
        <w:rPr>
          <w:rFonts w:ascii="Arial" w:hAnsi="Arial" w:cs="Arial"/>
          <w:color w:val="000000"/>
          <w:sz w:val="20"/>
          <w:szCs w:val="20"/>
          <w:lang w:val="en-US"/>
        </w:rPr>
        <w:t xml:space="preserve"> N</w:t>
      </w:r>
      <w:r w:rsidR="00384DF8" w:rsidRPr="00384DF8">
        <w:rPr>
          <w:rFonts w:ascii="Arial" w:hAnsi="Arial" w:cs="Arial"/>
          <w:color w:val="000000"/>
          <w:sz w:val="20"/>
          <w:szCs w:val="20"/>
          <w:lang w:val="en-US"/>
        </w:rPr>
        <w:t xml:space="preserve">eurogenic detrusor overactivity associated with a neurological disease (such as spina bifida, spinal cord lesion) in </w:t>
      </w:r>
      <w:proofErr w:type="spellStart"/>
      <w:r w:rsidR="00384DF8" w:rsidRPr="00384DF8">
        <w:rPr>
          <w:rFonts w:ascii="Arial" w:hAnsi="Arial" w:cs="Arial"/>
          <w:color w:val="000000"/>
          <w:sz w:val="20"/>
          <w:szCs w:val="20"/>
          <w:lang w:val="en-US"/>
        </w:rPr>
        <w:t>paediatric</w:t>
      </w:r>
      <w:proofErr w:type="spellEnd"/>
      <w:r w:rsidR="00384DF8" w:rsidRPr="00384DF8">
        <w:rPr>
          <w:rFonts w:ascii="Arial" w:hAnsi="Arial" w:cs="Arial"/>
          <w:color w:val="000000"/>
          <w:sz w:val="20"/>
          <w:szCs w:val="20"/>
          <w:lang w:val="en-US"/>
        </w:rPr>
        <w:t xml:space="preserve"> patients 5 years of age and older whose bladder is reliably emptied by regular disposable catheterization and who have an inadequate response to or are intolerant of anticholinergic medicinal products</w:t>
      </w:r>
      <w:r w:rsidR="00B124BC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r w:rsidRPr="001262E1">
        <w:rPr>
          <w:rFonts w:ascii="Arial" w:hAnsi="Arial" w:cs="Arial"/>
          <w:b/>
          <w:sz w:val="20"/>
          <w:szCs w:val="20"/>
          <w:lang w:val="en-US"/>
        </w:rPr>
        <w:t>D</w:t>
      </w:r>
      <w:r w:rsidRPr="00CD1D75">
        <w:rPr>
          <w:rFonts w:ascii="Arial" w:hAnsi="Arial" w:cs="Arial"/>
          <w:sz w:val="20"/>
          <w:szCs w:val="20"/>
          <w:lang w:val="en-US"/>
        </w:rPr>
        <w:t xml:space="preserve">: </w:t>
      </w:r>
      <w:r w:rsidRPr="00CD1D75">
        <w:rPr>
          <w:rFonts w:ascii="Arial" w:hAnsi="Arial" w:cs="Arial"/>
          <w:color w:val="000000"/>
          <w:sz w:val="20"/>
          <w:szCs w:val="20"/>
          <w:lang w:val="en-US"/>
        </w:rPr>
        <w:t>Botulinum toxin units are not inter-changeable from one product to another product.</w:t>
      </w:r>
      <w:r w:rsidRPr="001262E1">
        <w:rPr>
          <w:rFonts w:ascii="Arial" w:hAnsi="Arial" w:cs="Arial"/>
          <w:color w:val="000000"/>
          <w:sz w:val="20"/>
          <w:szCs w:val="20"/>
          <w:lang w:val="en-US"/>
        </w:rPr>
        <w:t xml:space="preserve"> Only be given by physicians with appropriate qualifications, expertise and equipment</w:t>
      </w:r>
      <w:r w:rsidR="00CD1D75">
        <w:rPr>
          <w:rFonts w:ascii="Arial" w:hAnsi="Arial" w:cs="Arial"/>
          <w:color w:val="000000"/>
          <w:sz w:val="20"/>
          <w:szCs w:val="20"/>
          <w:lang w:val="en-US"/>
        </w:rPr>
        <w:t xml:space="preserve"> (</w:t>
      </w:r>
      <w:proofErr w:type="gramStart"/>
      <w:r w:rsidR="00CD1D75">
        <w:rPr>
          <w:rFonts w:ascii="Arial" w:hAnsi="Arial" w:cs="Arial"/>
          <w:color w:val="000000"/>
          <w:sz w:val="20"/>
          <w:szCs w:val="20"/>
          <w:lang w:val="en-US"/>
        </w:rPr>
        <w:t>e.g.</w:t>
      </w:r>
      <w:proofErr w:type="gramEnd"/>
      <w:r w:rsidR="00CD1D75">
        <w:rPr>
          <w:rFonts w:ascii="Arial" w:hAnsi="Arial" w:cs="Arial"/>
          <w:color w:val="000000"/>
          <w:sz w:val="20"/>
          <w:szCs w:val="20"/>
          <w:lang w:val="en-US"/>
        </w:rPr>
        <w:t xml:space="preserve"> EMG)</w:t>
      </w:r>
      <w:r w:rsidRPr="001262E1">
        <w:rPr>
          <w:rFonts w:ascii="Arial" w:hAnsi="Arial" w:cs="Arial"/>
          <w:color w:val="000000"/>
          <w:sz w:val="20"/>
          <w:szCs w:val="20"/>
          <w:lang w:val="en-US"/>
        </w:rPr>
        <w:t xml:space="preserve">. Dosage depending on indication and individual treatment, optimum dose levels should be determined by titration. </w:t>
      </w:r>
      <w:r w:rsidRPr="001262E1">
        <w:rPr>
          <w:rFonts w:ascii="Arial" w:hAnsi="Arial" w:cs="Arial"/>
          <w:b/>
          <w:sz w:val="20"/>
          <w:szCs w:val="20"/>
          <w:lang w:val="en-US"/>
        </w:rPr>
        <w:t>C</w:t>
      </w:r>
      <w:r w:rsidR="00044417">
        <w:rPr>
          <w:rFonts w:ascii="Arial" w:hAnsi="Arial" w:cs="Arial"/>
          <w:b/>
          <w:sz w:val="20"/>
          <w:szCs w:val="20"/>
          <w:lang w:val="en-US"/>
        </w:rPr>
        <w:t>I</w:t>
      </w:r>
      <w:r w:rsidRPr="001262E1">
        <w:rPr>
          <w:rFonts w:ascii="Arial" w:hAnsi="Arial" w:cs="Arial"/>
          <w:sz w:val="20"/>
          <w:szCs w:val="20"/>
          <w:lang w:val="en-US"/>
        </w:rPr>
        <w:t xml:space="preserve">: </w:t>
      </w:r>
      <w:r w:rsidRPr="001262E1">
        <w:rPr>
          <w:rFonts w:ascii="Arial" w:hAnsi="Arial" w:cs="Arial"/>
          <w:color w:val="000000"/>
          <w:sz w:val="20"/>
          <w:szCs w:val="20"/>
          <w:lang w:val="en-US"/>
        </w:rPr>
        <w:t xml:space="preserve">Known hypersensitivity to the active substance or to any of the excipients. Infection at the proposed injection site(s). </w:t>
      </w:r>
      <w:r w:rsidRPr="00CD1D75">
        <w:rPr>
          <w:rFonts w:ascii="Arial" w:hAnsi="Arial" w:cs="Arial"/>
          <w:iCs/>
          <w:color w:val="000000"/>
          <w:sz w:val="20"/>
          <w:szCs w:val="20"/>
          <w:lang w:val="en-US"/>
        </w:rPr>
        <w:t>Injections into the detrusor:</w:t>
      </w:r>
      <w:r w:rsidRPr="001262E1">
        <w:rPr>
          <w:rFonts w:ascii="Arial" w:hAnsi="Arial" w:cs="Arial"/>
          <w:color w:val="000000"/>
          <w:sz w:val="20"/>
          <w:szCs w:val="20"/>
          <w:lang w:val="en-US"/>
        </w:rPr>
        <w:t xml:space="preserve"> urinary tract infection, acute urinary retention without catheter. </w:t>
      </w:r>
      <w:r w:rsidRPr="001262E1">
        <w:rPr>
          <w:rFonts w:ascii="Arial" w:hAnsi="Arial" w:cs="Arial"/>
          <w:b/>
          <w:sz w:val="20"/>
          <w:szCs w:val="20"/>
          <w:lang w:val="en-US"/>
        </w:rPr>
        <w:t>W:</w:t>
      </w:r>
      <w:r w:rsidRPr="001262E1">
        <w:rPr>
          <w:rFonts w:ascii="Arial" w:hAnsi="Arial" w:cs="Arial"/>
          <w:bCs/>
          <w:sz w:val="20"/>
          <w:szCs w:val="20"/>
          <w:lang w:val="en-US"/>
        </w:rPr>
        <w:t xml:space="preserve"> Do not exceed </w:t>
      </w:r>
      <w:r w:rsidRPr="001262E1">
        <w:rPr>
          <w:rFonts w:ascii="Arial" w:hAnsi="Arial" w:cs="Arial"/>
          <w:sz w:val="20"/>
          <w:szCs w:val="20"/>
          <w:lang w:val="en-US"/>
        </w:rPr>
        <w:t xml:space="preserve">recommended dosages. Consideration should be given to the risk-benefit implications for the individual patient before treatment (history in neurological disorders, </w:t>
      </w:r>
      <w:proofErr w:type="gramStart"/>
      <w:r w:rsidRPr="001262E1">
        <w:rPr>
          <w:rFonts w:ascii="Arial" w:hAnsi="Arial" w:cs="Arial"/>
          <w:sz w:val="20"/>
          <w:szCs w:val="20"/>
          <w:lang w:val="en-US"/>
        </w:rPr>
        <w:t>dy</w:t>
      </w:r>
      <w:r w:rsidR="00CD1D75">
        <w:rPr>
          <w:rFonts w:ascii="Arial" w:hAnsi="Arial" w:cs="Arial"/>
          <w:sz w:val="20"/>
          <w:szCs w:val="20"/>
          <w:lang w:val="en-US"/>
        </w:rPr>
        <w:t>s</w:t>
      </w:r>
      <w:r w:rsidRPr="001262E1">
        <w:rPr>
          <w:rFonts w:ascii="Arial" w:hAnsi="Arial" w:cs="Arial"/>
          <w:sz w:val="20"/>
          <w:szCs w:val="20"/>
          <w:lang w:val="en-US"/>
        </w:rPr>
        <w:t>phagia</w:t>
      </w:r>
      <w:proofErr w:type="gramEnd"/>
      <w:r w:rsidRPr="001262E1">
        <w:rPr>
          <w:rFonts w:ascii="Arial" w:hAnsi="Arial" w:cs="Arial"/>
          <w:sz w:val="20"/>
          <w:szCs w:val="20"/>
          <w:lang w:val="en-US"/>
        </w:rPr>
        <w:t xml:space="preserve"> and aspiration, </w:t>
      </w:r>
      <w:proofErr w:type="spellStart"/>
      <w:r w:rsidRPr="001262E1">
        <w:rPr>
          <w:rFonts w:ascii="Arial" w:hAnsi="Arial" w:cs="Arial"/>
          <w:sz w:val="20"/>
          <w:szCs w:val="20"/>
          <w:lang w:val="en-US"/>
        </w:rPr>
        <w:t>epilepsia</w:t>
      </w:r>
      <w:proofErr w:type="spellEnd"/>
      <w:r w:rsidRPr="001262E1">
        <w:rPr>
          <w:rFonts w:ascii="Arial" w:hAnsi="Arial" w:cs="Arial"/>
          <w:sz w:val="20"/>
          <w:szCs w:val="20"/>
          <w:lang w:val="en-US"/>
        </w:rPr>
        <w:t xml:space="preserve">). Prior surgical procedures, injection into vulnerable anatomic structures, presence of inflammation at the proposed injection site, weakness/atrophy in the target muscle; swallowing, speech or respiratory disorders that require an immediate medical care, presence of contra measures in case of anaphylactic </w:t>
      </w:r>
      <w:r w:rsidRPr="0010399F">
        <w:rPr>
          <w:rFonts w:ascii="Arial" w:hAnsi="Arial" w:cs="Arial"/>
          <w:sz w:val="20"/>
          <w:szCs w:val="20"/>
          <w:lang w:val="en-US"/>
        </w:rPr>
        <w:t>reactions; possible reduction of effectiveness by formation of neutralizing antibodies. Caution in patients with peripheral motor neuropathic diseases and defective neuromuscular transmission (</w:t>
      </w:r>
      <w:proofErr w:type="gramStart"/>
      <w:r w:rsidRPr="0010399F">
        <w:rPr>
          <w:rFonts w:ascii="Arial" w:hAnsi="Arial" w:cs="Arial"/>
          <w:sz w:val="20"/>
          <w:szCs w:val="20"/>
          <w:lang w:val="en-US"/>
        </w:rPr>
        <w:t>e.g.</w:t>
      </w:r>
      <w:proofErr w:type="gramEnd"/>
      <w:r w:rsidRPr="0010399F">
        <w:rPr>
          <w:rFonts w:ascii="Arial" w:hAnsi="Arial" w:cs="Arial"/>
          <w:sz w:val="20"/>
          <w:szCs w:val="20"/>
          <w:lang w:val="en-US"/>
        </w:rPr>
        <w:t xml:space="preserve"> myasthenia gravis or Lambert-Eaton Syndrome). Caution is warranted when injecting in proximity to the lung (particularly the apices). Immediate use of diluted solution in the syringe (</w:t>
      </w:r>
      <w:proofErr w:type="gramStart"/>
      <w:r w:rsidRPr="0010399F">
        <w:rPr>
          <w:rFonts w:ascii="Arial" w:hAnsi="Arial" w:cs="Arial"/>
          <w:sz w:val="20"/>
          <w:szCs w:val="20"/>
          <w:lang w:val="en-US"/>
        </w:rPr>
        <w:t>e.g.</w:t>
      </w:r>
      <w:proofErr w:type="gramEnd"/>
      <w:r w:rsidRPr="0010399F">
        <w:rPr>
          <w:rFonts w:ascii="Arial" w:hAnsi="Arial" w:cs="Arial"/>
          <w:sz w:val="20"/>
          <w:szCs w:val="20"/>
          <w:lang w:val="en-US"/>
        </w:rPr>
        <w:t xml:space="preserve"> urinary incontinence)</w:t>
      </w:r>
      <w:r w:rsidRPr="0010399F">
        <w:rPr>
          <w:rFonts w:ascii="Arial" w:hAnsi="Arial" w:cs="Arial"/>
          <w:spacing w:val="-1"/>
          <w:sz w:val="20"/>
          <w:szCs w:val="20"/>
          <w:lang w:val="en-US"/>
        </w:rPr>
        <w:t xml:space="preserve">. </w:t>
      </w:r>
      <w:r w:rsidRPr="0010399F">
        <w:rPr>
          <w:rFonts w:ascii="Arial" w:hAnsi="Arial" w:cs="Arial"/>
          <w:b/>
          <w:bCs/>
          <w:sz w:val="20"/>
          <w:szCs w:val="20"/>
          <w:lang w:val="en-US"/>
        </w:rPr>
        <w:t>I</w:t>
      </w:r>
      <w:r w:rsidR="00044417" w:rsidRPr="0010399F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Pr="0010399F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Pr="0010399F">
        <w:rPr>
          <w:rFonts w:ascii="Arial" w:hAnsi="Arial" w:cs="Arial"/>
          <w:sz w:val="20"/>
          <w:szCs w:val="20"/>
          <w:lang w:val="en-US"/>
        </w:rPr>
        <w:t xml:space="preserve"> aminoglycoside antibiotics, spectinomycin or other medicinal products that interfere with neuromuscular transmission (</w:t>
      </w:r>
      <w:proofErr w:type="gramStart"/>
      <w:r w:rsidRPr="0010399F">
        <w:rPr>
          <w:rFonts w:ascii="Arial" w:hAnsi="Arial" w:cs="Arial"/>
          <w:sz w:val="20"/>
          <w:szCs w:val="20"/>
          <w:lang w:val="en-US"/>
        </w:rPr>
        <w:t>e.g.</w:t>
      </w:r>
      <w:proofErr w:type="gramEnd"/>
      <w:r w:rsidRPr="0010399F">
        <w:rPr>
          <w:rFonts w:ascii="Arial" w:hAnsi="Arial" w:cs="Arial"/>
          <w:sz w:val="20"/>
          <w:szCs w:val="20"/>
          <w:lang w:val="en-US"/>
        </w:rPr>
        <w:t xml:space="preserve"> muscle relaxants)</w:t>
      </w:r>
      <w:r w:rsidR="00F078FA" w:rsidRPr="0010399F">
        <w:rPr>
          <w:rFonts w:ascii="Arial" w:hAnsi="Arial" w:cs="Arial"/>
          <w:sz w:val="20"/>
          <w:szCs w:val="20"/>
          <w:lang w:val="en-US"/>
        </w:rPr>
        <w:t>, other botulinum toxins</w:t>
      </w:r>
      <w:r w:rsidRPr="0010399F">
        <w:rPr>
          <w:rFonts w:ascii="Arial" w:hAnsi="Arial" w:cs="Arial"/>
          <w:sz w:val="20"/>
          <w:szCs w:val="20"/>
          <w:lang w:val="en-US"/>
        </w:rPr>
        <w:t>. Do not mix with other medicinal products.</w:t>
      </w:r>
      <w:r w:rsidRPr="0010399F" w:rsidDel="00DF45A7">
        <w:rPr>
          <w:rFonts w:ascii="Arial" w:hAnsi="Arial" w:cs="Arial"/>
          <w:sz w:val="20"/>
          <w:szCs w:val="20"/>
          <w:lang w:val="en-US"/>
        </w:rPr>
        <w:t xml:space="preserve"> </w:t>
      </w:r>
      <w:r w:rsidRPr="0010399F">
        <w:rPr>
          <w:rFonts w:ascii="Arial" w:hAnsi="Arial" w:cs="Arial"/>
          <w:sz w:val="20"/>
          <w:szCs w:val="20"/>
          <w:lang w:val="en-US"/>
        </w:rPr>
        <w:t>Not recommended in women of childbearing potential not using contraception, during pregnancy and breastfeeding.</w:t>
      </w:r>
      <w:r w:rsidRPr="0010399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044417" w:rsidRPr="0010399F">
        <w:rPr>
          <w:rFonts w:ascii="Arial" w:hAnsi="Arial" w:cs="Arial"/>
          <w:b/>
          <w:sz w:val="20"/>
          <w:szCs w:val="20"/>
          <w:lang w:val="en-US"/>
        </w:rPr>
        <w:t>AE</w:t>
      </w:r>
      <w:r w:rsidRPr="0010399F">
        <w:rPr>
          <w:rFonts w:ascii="Arial" w:hAnsi="Arial" w:cs="Arial"/>
          <w:b/>
          <w:sz w:val="20"/>
          <w:szCs w:val="20"/>
          <w:lang w:val="en-US"/>
        </w:rPr>
        <w:t>:</w:t>
      </w:r>
      <w:r w:rsidRPr="0010399F">
        <w:rPr>
          <w:rFonts w:ascii="Arial" w:hAnsi="Arial" w:cs="Arial"/>
          <w:sz w:val="20"/>
          <w:szCs w:val="20"/>
          <w:lang w:val="en-US"/>
        </w:rPr>
        <w:t xml:space="preserve"> </w:t>
      </w:r>
      <w:r w:rsidRPr="0010399F">
        <w:rPr>
          <w:rFonts w:ascii="Arial" w:hAnsi="Arial" w:cs="Arial"/>
          <w:iCs/>
          <w:sz w:val="20"/>
          <w:szCs w:val="20"/>
          <w:lang w:val="en-US"/>
        </w:rPr>
        <w:t>Very common:</w:t>
      </w:r>
      <w:r w:rsidRPr="0010399F">
        <w:rPr>
          <w:rFonts w:ascii="Arial" w:hAnsi="Arial" w:cs="Arial"/>
          <w:sz w:val="20"/>
          <w:szCs w:val="20"/>
          <w:lang w:val="en-US"/>
        </w:rPr>
        <w:t xml:space="preserve"> eyelid ptosis, eye movement disorder, dysphagia, muscular weakness, </w:t>
      </w:r>
      <w:proofErr w:type="spellStart"/>
      <w:r w:rsidR="00F078FA" w:rsidRPr="0010399F">
        <w:rPr>
          <w:rFonts w:ascii="Arial" w:hAnsi="Arial" w:cs="Arial"/>
          <w:sz w:val="20"/>
          <w:lang w:val="x-none"/>
        </w:rPr>
        <w:t>pain</w:t>
      </w:r>
      <w:proofErr w:type="spellEnd"/>
      <w:r w:rsidR="00F078FA" w:rsidRPr="0010399F">
        <w:rPr>
          <w:rFonts w:ascii="Arial" w:hAnsi="Arial" w:cs="Arial"/>
          <w:sz w:val="20"/>
          <w:lang w:val="x-none"/>
        </w:rPr>
        <w:t xml:space="preserve">, </w:t>
      </w:r>
      <w:proofErr w:type="spellStart"/>
      <w:r w:rsidR="00F078FA" w:rsidRPr="0010399F">
        <w:rPr>
          <w:rFonts w:ascii="Arial" w:hAnsi="Arial" w:cs="Arial"/>
          <w:sz w:val="20"/>
          <w:lang w:val="x-none"/>
        </w:rPr>
        <w:t>urinary</w:t>
      </w:r>
      <w:proofErr w:type="spellEnd"/>
      <w:r w:rsidR="00F078FA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F078FA" w:rsidRPr="0010399F">
        <w:rPr>
          <w:rFonts w:ascii="Arial" w:hAnsi="Arial" w:cs="Arial"/>
          <w:sz w:val="20"/>
          <w:lang w:val="x-none"/>
        </w:rPr>
        <w:t>tract</w:t>
      </w:r>
      <w:proofErr w:type="spellEnd"/>
      <w:r w:rsidR="00F078FA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F078FA" w:rsidRPr="0010399F">
        <w:rPr>
          <w:rFonts w:ascii="Arial" w:hAnsi="Arial" w:cs="Arial"/>
          <w:sz w:val="20"/>
          <w:lang w:val="x-none"/>
        </w:rPr>
        <w:t>infection</w:t>
      </w:r>
      <w:proofErr w:type="spellEnd"/>
      <w:r w:rsidR="00F078FA" w:rsidRPr="0010399F">
        <w:rPr>
          <w:rFonts w:ascii="Arial" w:hAnsi="Arial" w:cs="Arial"/>
          <w:sz w:val="20"/>
          <w:lang w:val="x-none"/>
        </w:rPr>
        <w:t xml:space="preserve">, </w:t>
      </w:r>
      <w:proofErr w:type="spellStart"/>
      <w:r w:rsidR="00F078FA" w:rsidRPr="0010399F">
        <w:rPr>
          <w:rFonts w:ascii="Arial" w:hAnsi="Arial" w:cs="Arial"/>
          <w:sz w:val="20"/>
          <w:lang w:val="x-none"/>
        </w:rPr>
        <w:t>dysuria</w:t>
      </w:r>
      <w:proofErr w:type="spellEnd"/>
      <w:r w:rsidR="00F078FA" w:rsidRPr="0010399F">
        <w:rPr>
          <w:rFonts w:ascii="Arial" w:hAnsi="Arial" w:cs="Arial"/>
          <w:sz w:val="20"/>
          <w:lang w:val="x-none"/>
        </w:rPr>
        <w:t xml:space="preserve">, </w:t>
      </w:r>
      <w:proofErr w:type="spellStart"/>
      <w:r w:rsidR="00F078FA" w:rsidRPr="0010399F">
        <w:rPr>
          <w:rFonts w:ascii="Arial" w:hAnsi="Arial" w:cs="Arial"/>
          <w:sz w:val="20"/>
          <w:lang w:val="x-none"/>
        </w:rPr>
        <w:t>bacteriuria</w:t>
      </w:r>
      <w:proofErr w:type="spellEnd"/>
      <w:r w:rsidR="00F078FA" w:rsidRPr="0010399F">
        <w:rPr>
          <w:rFonts w:ascii="Arial" w:hAnsi="Arial" w:cs="Arial"/>
          <w:sz w:val="20"/>
          <w:lang w:val="x-none"/>
        </w:rPr>
        <w:t>,</w:t>
      </w:r>
      <w:r w:rsidR="00F078FA" w:rsidRPr="0010399F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F078FA" w:rsidRPr="0010399F">
        <w:rPr>
          <w:rFonts w:ascii="Arial" w:hAnsi="Arial" w:cs="Arial"/>
          <w:sz w:val="20"/>
          <w:lang w:val="x-none"/>
        </w:rPr>
        <w:t>urinary</w:t>
      </w:r>
      <w:proofErr w:type="spellEnd"/>
      <w:r w:rsidR="00F078FA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F078FA" w:rsidRPr="0010399F">
        <w:rPr>
          <w:rFonts w:ascii="Arial" w:hAnsi="Arial" w:cs="Arial"/>
          <w:sz w:val="20"/>
          <w:lang w:val="x-none"/>
        </w:rPr>
        <w:t>retention</w:t>
      </w:r>
      <w:proofErr w:type="spellEnd"/>
      <w:r w:rsidR="00F078FA" w:rsidRPr="0010399F">
        <w:rPr>
          <w:rFonts w:ascii="Arial" w:hAnsi="Arial" w:cs="Arial"/>
          <w:sz w:val="20"/>
          <w:lang w:val="x-none"/>
        </w:rPr>
        <w:t xml:space="preserve">, residual </w:t>
      </w:r>
      <w:proofErr w:type="spellStart"/>
      <w:r w:rsidR="00F078FA" w:rsidRPr="0010399F">
        <w:rPr>
          <w:rFonts w:ascii="Arial" w:hAnsi="Arial" w:cs="Arial"/>
          <w:sz w:val="20"/>
          <w:lang w:val="x-none"/>
        </w:rPr>
        <w:t>urine</w:t>
      </w:r>
      <w:proofErr w:type="spellEnd"/>
      <w:r w:rsidR="00F078FA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F078FA" w:rsidRPr="0010399F">
        <w:rPr>
          <w:rFonts w:ascii="Arial" w:hAnsi="Arial" w:cs="Arial"/>
          <w:sz w:val="20"/>
          <w:lang w:val="x-none"/>
        </w:rPr>
        <w:t>volume</w:t>
      </w:r>
      <w:proofErr w:type="spellEnd"/>
      <w:r w:rsidR="00F078FA" w:rsidRPr="0010399F">
        <w:rPr>
          <w:rFonts w:ascii="Arial" w:hAnsi="Arial" w:cs="Arial"/>
          <w:sz w:val="20"/>
          <w:lang w:val="x-none"/>
        </w:rPr>
        <w:t xml:space="preserve">, </w:t>
      </w:r>
      <w:proofErr w:type="spellStart"/>
      <w:r w:rsidR="00F078FA" w:rsidRPr="0010399F">
        <w:rPr>
          <w:rFonts w:ascii="Arial" w:hAnsi="Arial" w:cs="Arial"/>
          <w:sz w:val="20"/>
          <w:lang w:val="x-none"/>
        </w:rPr>
        <w:t>injection</w:t>
      </w:r>
      <w:proofErr w:type="spellEnd"/>
      <w:r w:rsidR="00F078FA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F078FA" w:rsidRPr="0010399F">
        <w:rPr>
          <w:rFonts w:ascii="Arial" w:hAnsi="Arial" w:cs="Arial"/>
          <w:sz w:val="20"/>
          <w:lang w:val="x-none"/>
        </w:rPr>
        <w:t>site</w:t>
      </w:r>
      <w:proofErr w:type="spellEnd"/>
      <w:r w:rsidR="00F078FA" w:rsidRPr="0010399F">
        <w:rPr>
          <w:rFonts w:ascii="Arial" w:hAnsi="Arial" w:cs="Arial"/>
          <w:sz w:val="20"/>
          <w:lang w:val="x-none"/>
        </w:rPr>
        <w:t xml:space="preserve"> </w:t>
      </w:r>
      <w:proofErr w:type="spellStart"/>
      <w:r w:rsidR="00F078FA" w:rsidRPr="0010399F">
        <w:rPr>
          <w:rFonts w:ascii="Arial" w:hAnsi="Arial" w:cs="Arial"/>
          <w:sz w:val="20"/>
          <w:lang w:val="x-none"/>
        </w:rPr>
        <w:t>pain</w:t>
      </w:r>
      <w:proofErr w:type="spellEnd"/>
      <w:r w:rsidR="00F078FA" w:rsidRPr="0010399F">
        <w:rPr>
          <w:rFonts w:ascii="Arial" w:hAnsi="Arial" w:cs="Arial"/>
          <w:sz w:val="20"/>
          <w:lang w:val="x-none"/>
        </w:rPr>
        <w:t>.</w:t>
      </w:r>
      <w:r w:rsidR="00F078FA" w:rsidRPr="0010399F">
        <w:rPr>
          <w:rFonts w:ascii="Arial" w:hAnsi="Arial" w:cs="Arial"/>
          <w:sz w:val="20"/>
          <w:szCs w:val="20"/>
          <w:lang w:val="en-US"/>
        </w:rPr>
        <w:t xml:space="preserve"> </w:t>
      </w:r>
      <w:r w:rsidRPr="0010399F">
        <w:rPr>
          <w:rFonts w:ascii="Arial" w:hAnsi="Arial" w:cs="Arial"/>
          <w:b/>
          <w:bCs/>
          <w:sz w:val="20"/>
          <w:szCs w:val="20"/>
          <w:lang w:val="en-US"/>
        </w:rPr>
        <w:t>P:</w:t>
      </w:r>
      <w:r w:rsidRPr="0010399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2646A6" w:rsidRPr="0010399F">
        <w:rPr>
          <w:rFonts w:ascii="Arial" w:hAnsi="Arial" w:cs="Arial"/>
          <w:sz w:val="20"/>
          <w:szCs w:val="20"/>
          <w:lang w:val="en-US"/>
        </w:rPr>
        <w:t>2 x 1 vials with BOTOX</w:t>
      </w:r>
      <w:r w:rsidR="002646A6" w:rsidRPr="0010399F">
        <w:rPr>
          <w:rFonts w:ascii="Arial" w:hAnsi="Arial" w:cs="Arial"/>
          <w:sz w:val="20"/>
          <w:szCs w:val="20"/>
          <w:vertAlign w:val="superscript"/>
          <w:lang w:val="en-US"/>
        </w:rPr>
        <w:t xml:space="preserve">® </w:t>
      </w:r>
      <w:r w:rsidR="002646A6" w:rsidRPr="0010399F">
        <w:rPr>
          <w:rFonts w:ascii="Arial" w:hAnsi="Arial" w:cs="Arial"/>
          <w:sz w:val="20"/>
          <w:szCs w:val="20"/>
          <w:lang w:val="en-US"/>
        </w:rPr>
        <w:t xml:space="preserve">50 Allergan Units. </w:t>
      </w:r>
      <w:r w:rsidRPr="0010399F">
        <w:rPr>
          <w:rFonts w:ascii="Arial" w:hAnsi="Arial" w:cs="Arial"/>
          <w:sz w:val="20"/>
          <w:szCs w:val="20"/>
          <w:lang w:val="en-US"/>
        </w:rPr>
        <w:t>1 and 2 x 1 vials with BOTOX</w:t>
      </w:r>
      <w:r w:rsidRPr="0010399F">
        <w:rPr>
          <w:rFonts w:ascii="Arial" w:hAnsi="Arial" w:cs="Arial"/>
          <w:sz w:val="20"/>
          <w:szCs w:val="20"/>
          <w:vertAlign w:val="superscript"/>
          <w:lang w:val="en-US"/>
        </w:rPr>
        <w:t xml:space="preserve">® </w:t>
      </w:r>
      <w:r w:rsidRPr="0010399F">
        <w:rPr>
          <w:rFonts w:ascii="Arial" w:hAnsi="Arial" w:cs="Arial"/>
          <w:sz w:val="20"/>
          <w:szCs w:val="20"/>
          <w:lang w:val="en-US"/>
        </w:rPr>
        <w:t xml:space="preserve">100 Allergan Units. </w:t>
      </w:r>
      <w:r w:rsidR="007A0B01" w:rsidRPr="0010399F">
        <w:rPr>
          <w:rFonts w:ascii="Arial" w:hAnsi="Arial" w:cs="Arial"/>
          <w:sz w:val="20"/>
          <w:szCs w:val="20"/>
          <w:lang w:val="de-CH"/>
        </w:rPr>
        <w:t xml:space="preserve">List A, </w:t>
      </w:r>
      <w:proofErr w:type="spellStart"/>
      <w:r w:rsidR="007A0B01" w:rsidRPr="0010399F">
        <w:rPr>
          <w:rFonts w:ascii="Arial" w:hAnsi="Arial" w:cs="Arial"/>
          <w:sz w:val="20"/>
          <w:szCs w:val="20"/>
          <w:lang w:val="de-CH"/>
        </w:rPr>
        <w:t>with</w:t>
      </w:r>
      <w:proofErr w:type="spellEnd"/>
      <w:r w:rsidR="007A0B01" w:rsidRPr="0010399F">
        <w:rPr>
          <w:rFonts w:ascii="Arial" w:hAnsi="Arial" w:cs="Arial"/>
          <w:sz w:val="20"/>
          <w:szCs w:val="20"/>
          <w:lang w:val="de-CH"/>
        </w:rPr>
        <w:t xml:space="preserve"> </w:t>
      </w:r>
      <w:proofErr w:type="spellStart"/>
      <w:r w:rsidR="007A0B01" w:rsidRPr="0010399F">
        <w:rPr>
          <w:rFonts w:ascii="Arial" w:hAnsi="Arial" w:cs="Arial"/>
          <w:sz w:val="20"/>
          <w:szCs w:val="20"/>
          <w:lang w:val="de-CH"/>
        </w:rPr>
        <w:t>limitatio</w:t>
      </w:r>
      <w:proofErr w:type="spellEnd"/>
      <w:r w:rsidR="007A0B01" w:rsidRPr="0010399F">
        <w:rPr>
          <w:rFonts w:ascii="Arial" w:hAnsi="Arial" w:cs="Arial"/>
          <w:sz w:val="20"/>
          <w:szCs w:val="20"/>
          <w:lang w:val="de-CH"/>
        </w:rPr>
        <w:t xml:space="preserve">. </w:t>
      </w:r>
      <w:r w:rsidRPr="0010399F">
        <w:rPr>
          <w:rFonts w:ascii="Arial" w:hAnsi="Arial" w:cs="Arial"/>
          <w:b/>
          <w:bCs/>
          <w:sz w:val="20"/>
          <w:szCs w:val="20"/>
          <w:lang w:val="de-CH"/>
        </w:rPr>
        <w:t>M:</w:t>
      </w:r>
      <w:r w:rsidRPr="0010399F">
        <w:rPr>
          <w:rFonts w:ascii="Arial" w:hAnsi="Arial" w:cs="Arial"/>
          <w:sz w:val="20"/>
          <w:szCs w:val="20"/>
          <w:lang w:val="de-CH"/>
        </w:rPr>
        <w:t xml:space="preserve"> </w:t>
      </w:r>
      <w:r w:rsidR="002646A6" w:rsidRPr="0010399F">
        <w:rPr>
          <w:rFonts w:ascii="Arial" w:hAnsi="Arial" w:cs="Arial"/>
          <w:sz w:val="20"/>
          <w:szCs w:val="20"/>
          <w:lang w:val="de-CH"/>
        </w:rPr>
        <w:t>AbbVie</w:t>
      </w:r>
      <w:r w:rsidR="007A0B01" w:rsidRPr="0010399F">
        <w:rPr>
          <w:rFonts w:ascii="Arial" w:hAnsi="Arial" w:cs="Arial"/>
          <w:sz w:val="20"/>
          <w:szCs w:val="20"/>
          <w:lang w:val="de-CH"/>
        </w:rPr>
        <w:t xml:space="preserve"> AG, </w:t>
      </w:r>
      <w:bookmarkStart w:id="0" w:name="_Hlk79398832"/>
      <w:r w:rsidR="007A0B01" w:rsidRPr="0010399F">
        <w:rPr>
          <w:rFonts w:ascii="Arial" w:hAnsi="Arial" w:cs="Arial"/>
          <w:sz w:val="20"/>
          <w:szCs w:val="20"/>
          <w:lang w:val="de-CH"/>
        </w:rPr>
        <w:t>Alte Steinhauserstrasse 14, 6330 Cham</w:t>
      </w:r>
      <w:bookmarkEnd w:id="0"/>
      <w:r w:rsidR="007A0B01" w:rsidRPr="0010399F">
        <w:rPr>
          <w:rFonts w:ascii="Arial" w:hAnsi="Arial" w:cs="Arial"/>
          <w:sz w:val="20"/>
          <w:szCs w:val="20"/>
          <w:lang w:val="de-CH"/>
        </w:rPr>
        <w:t xml:space="preserve">, </w:t>
      </w:r>
      <w:bookmarkStart w:id="1" w:name="_Hlk79398844"/>
      <w:r w:rsidR="002B6BB7" w:rsidRPr="0010399F">
        <w:rPr>
          <w:rFonts w:ascii="Arial" w:hAnsi="Arial" w:cs="Arial"/>
          <w:sz w:val="20"/>
          <w:szCs w:val="20"/>
          <w:lang w:val="de-CH"/>
        </w:rPr>
        <w:t>t</w:t>
      </w:r>
      <w:r w:rsidR="007A0B01" w:rsidRPr="0010399F">
        <w:rPr>
          <w:rFonts w:ascii="Arial" w:hAnsi="Arial" w:cs="Arial"/>
          <w:sz w:val="20"/>
          <w:szCs w:val="20"/>
          <w:lang w:val="de-CH"/>
        </w:rPr>
        <w:t xml:space="preserve">el. </w:t>
      </w:r>
      <w:r w:rsidR="007A0B01" w:rsidRPr="0010399F">
        <w:rPr>
          <w:rFonts w:ascii="Arial" w:hAnsi="Arial" w:cs="Arial"/>
          <w:sz w:val="20"/>
          <w:szCs w:val="20"/>
          <w:lang w:val="en-US"/>
        </w:rPr>
        <w:t>(+41) 41 399 15 00.</w:t>
      </w:r>
      <w:bookmarkEnd w:id="1"/>
      <w:r w:rsidR="007A0B01" w:rsidRPr="0010399F">
        <w:rPr>
          <w:rFonts w:ascii="Arial" w:hAnsi="Arial" w:cs="Arial"/>
          <w:sz w:val="20"/>
          <w:szCs w:val="20"/>
          <w:lang w:val="en-US"/>
        </w:rPr>
        <w:t xml:space="preserve"> For detailed medicinal product's characteristics see: www.swissmedicinfo.ch (V</w:t>
      </w:r>
      <w:r w:rsidR="003F4C8A">
        <w:rPr>
          <w:rFonts w:ascii="Arial" w:hAnsi="Arial" w:cs="Arial"/>
          <w:sz w:val="20"/>
          <w:szCs w:val="20"/>
          <w:lang w:val="en-US"/>
        </w:rPr>
        <w:t>4</w:t>
      </w:r>
      <w:r w:rsidR="007A0B01" w:rsidRPr="0010399F">
        <w:rPr>
          <w:rFonts w:ascii="Arial" w:hAnsi="Arial" w:cs="Arial"/>
          <w:sz w:val="20"/>
          <w:szCs w:val="20"/>
          <w:lang w:val="en-US"/>
        </w:rPr>
        <w:t>).</w:t>
      </w:r>
    </w:p>
    <w:p w14:paraId="43B9C200" w14:textId="77777777" w:rsidR="007A0B01" w:rsidRPr="0010399F" w:rsidRDefault="007A0B01" w:rsidP="00044417">
      <w:pPr>
        <w:shd w:val="clear" w:color="auto" w:fill="FFFFFF"/>
        <w:spacing w:line="276" w:lineRule="auto"/>
        <w:ind w:left="10"/>
        <w:jc w:val="both"/>
        <w:rPr>
          <w:rFonts w:ascii="Arial" w:hAnsi="Arial" w:cs="Arial"/>
          <w:sz w:val="20"/>
          <w:szCs w:val="20"/>
          <w:lang w:val="en-US"/>
        </w:rPr>
      </w:pPr>
    </w:p>
    <w:p w14:paraId="5F69C49A" w14:textId="25687D4C" w:rsidR="00044417" w:rsidRPr="0010399F" w:rsidRDefault="00044417" w:rsidP="00044417">
      <w:pPr>
        <w:shd w:val="clear" w:color="auto" w:fill="FFFFFF"/>
        <w:spacing w:line="276" w:lineRule="auto"/>
        <w:ind w:left="10"/>
        <w:jc w:val="both"/>
        <w:rPr>
          <w:rFonts w:ascii="Arial" w:hAnsi="Arial" w:cs="Arial"/>
          <w:sz w:val="20"/>
          <w:szCs w:val="20"/>
          <w:lang w:val="en-US"/>
        </w:rPr>
      </w:pPr>
    </w:p>
    <w:p w14:paraId="5E0929AB" w14:textId="77777777" w:rsidR="00044417" w:rsidRPr="0010399F" w:rsidRDefault="00044417" w:rsidP="003F4C8A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highlight w:val="lightGray"/>
          <w:lang w:val="en-US"/>
        </w:rPr>
      </w:pPr>
    </w:p>
    <w:p w14:paraId="0B63A852" w14:textId="4912C768" w:rsidR="00044417" w:rsidRPr="0010399F" w:rsidRDefault="003F4C8A" w:rsidP="00044417">
      <w:pPr>
        <w:shd w:val="clear" w:color="auto" w:fill="FFFFFF"/>
        <w:spacing w:line="276" w:lineRule="auto"/>
        <w:ind w:left="10"/>
        <w:jc w:val="both"/>
        <w:rPr>
          <w:rFonts w:ascii="Arial" w:hAnsi="Arial" w:cs="Arial"/>
          <w:sz w:val="20"/>
          <w:szCs w:val="20"/>
          <w:lang w:val="en-US"/>
        </w:rPr>
      </w:pPr>
      <w:r w:rsidRPr="003F4C8A">
        <w:rPr>
          <w:rFonts w:ascii="Arial" w:hAnsi="Arial" w:cs="Arial"/>
          <w:sz w:val="20"/>
          <w:szCs w:val="20"/>
          <w:lang w:val="en-US"/>
        </w:rPr>
        <w:t>CH-BTX-230139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DB722C" w:rsidRPr="0010399F">
        <w:rPr>
          <w:rFonts w:ascii="Arial" w:hAnsi="Arial" w:cs="Arial"/>
          <w:sz w:val="20"/>
          <w:szCs w:val="20"/>
          <w:lang w:val="en-US"/>
        </w:rPr>
        <w:t>0</w:t>
      </w:r>
      <w:r>
        <w:rPr>
          <w:rFonts w:ascii="Arial" w:hAnsi="Arial" w:cs="Arial"/>
          <w:sz w:val="20"/>
          <w:szCs w:val="20"/>
          <w:lang w:val="en-US"/>
        </w:rPr>
        <w:t>8</w:t>
      </w:r>
      <w:r w:rsidR="00DB722C" w:rsidRPr="0010399F">
        <w:rPr>
          <w:rFonts w:ascii="Arial" w:hAnsi="Arial" w:cs="Arial"/>
          <w:sz w:val="20"/>
          <w:szCs w:val="20"/>
          <w:lang w:val="en-US"/>
        </w:rPr>
        <w:t>/202</w:t>
      </w:r>
      <w:r w:rsidR="004B06C8" w:rsidRPr="0010399F">
        <w:rPr>
          <w:rFonts w:ascii="Arial" w:hAnsi="Arial" w:cs="Arial"/>
          <w:sz w:val="20"/>
          <w:szCs w:val="20"/>
          <w:lang w:val="en-US"/>
        </w:rPr>
        <w:t>3</w:t>
      </w:r>
    </w:p>
    <w:sectPr w:rsidR="00044417" w:rsidRPr="0010399F" w:rsidSect="00124226">
      <w:headerReference w:type="default" r:id="rId12"/>
      <w:footerReference w:type="default" r:id="rId13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29E5" w14:textId="77777777" w:rsidR="004D66BD" w:rsidRDefault="004D66BD" w:rsidP="003314D7">
      <w:r>
        <w:separator/>
      </w:r>
    </w:p>
  </w:endnote>
  <w:endnote w:type="continuationSeparator" w:id="0">
    <w:p w14:paraId="3A5450D8" w14:textId="77777777" w:rsidR="004D66BD" w:rsidRDefault="004D66BD" w:rsidP="003314D7">
      <w:r>
        <w:continuationSeparator/>
      </w:r>
    </w:p>
  </w:endnote>
  <w:endnote w:type="continuationNotice" w:id="1">
    <w:p w14:paraId="6C5DCD44" w14:textId="77777777" w:rsidR="004D66BD" w:rsidRDefault="004D6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E7C4" w14:textId="36FDB034" w:rsidR="00D30349" w:rsidRPr="00171801" w:rsidRDefault="003326A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fr-CH"/>
      </w:rPr>
    </w:pPr>
    <w:r w:rsidRPr="00171801">
      <w:rPr>
        <w:rFonts w:ascii="Arial" w:hAnsi="Arial" w:cs="Arial"/>
        <w:color w:val="000000"/>
        <w:sz w:val="14"/>
        <w:szCs w:val="14"/>
        <w:lang w:val="fr-CH"/>
      </w:rPr>
      <w:t>BOT</w:t>
    </w:r>
    <w:r w:rsidR="00E427EB" w:rsidRPr="00171801">
      <w:rPr>
        <w:rFonts w:ascii="Arial" w:hAnsi="Arial" w:cs="Arial"/>
        <w:color w:val="000000"/>
        <w:sz w:val="14"/>
        <w:szCs w:val="14"/>
        <w:lang w:val="fr-CH"/>
      </w:rPr>
      <w:t>OX_</w:t>
    </w:r>
    <w:r w:rsidR="0069504F">
      <w:rPr>
        <w:rFonts w:ascii="Arial" w:hAnsi="Arial" w:cs="Arial"/>
        <w:color w:val="000000"/>
        <w:sz w:val="14"/>
        <w:szCs w:val="14"/>
        <w:lang w:val="fr-CH"/>
      </w:rPr>
      <w:t>AUG</w:t>
    </w:r>
    <w:r w:rsidR="003D1D64">
      <w:rPr>
        <w:rFonts w:ascii="Arial" w:hAnsi="Arial" w:cs="Arial"/>
        <w:color w:val="000000"/>
        <w:sz w:val="14"/>
        <w:szCs w:val="14"/>
        <w:lang w:val="fr-CH"/>
      </w:rPr>
      <w:t>202</w:t>
    </w:r>
    <w:r w:rsidR="0010399F">
      <w:rPr>
        <w:rFonts w:ascii="Arial" w:hAnsi="Arial" w:cs="Arial"/>
        <w:color w:val="000000"/>
        <w:sz w:val="14"/>
        <w:szCs w:val="14"/>
        <w:lang w:val="fr-CH"/>
      </w:rPr>
      <w:t>3</w:t>
    </w:r>
    <w:r w:rsidR="00E427EB" w:rsidRPr="00171801">
      <w:rPr>
        <w:rFonts w:ascii="Arial" w:hAnsi="Arial" w:cs="Arial"/>
        <w:color w:val="000000"/>
        <w:sz w:val="14"/>
        <w:szCs w:val="14"/>
        <w:lang w:val="fr-CH"/>
      </w:rPr>
      <w:t>_E</w:t>
    </w:r>
    <w:r w:rsidR="00992D7B">
      <w:rPr>
        <w:rFonts w:ascii="Arial" w:hAnsi="Arial" w:cs="Arial"/>
        <w:color w:val="000000"/>
        <w:sz w:val="14"/>
        <w:szCs w:val="14"/>
        <w:lang w:val="fr-CH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3CAE" w14:textId="77777777" w:rsidR="004D66BD" w:rsidRDefault="004D66BD" w:rsidP="003314D7">
      <w:r>
        <w:separator/>
      </w:r>
    </w:p>
  </w:footnote>
  <w:footnote w:type="continuationSeparator" w:id="0">
    <w:p w14:paraId="66B0D1F7" w14:textId="77777777" w:rsidR="004D66BD" w:rsidRDefault="004D66BD" w:rsidP="003314D7">
      <w:r>
        <w:continuationSeparator/>
      </w:r>
    </w:p>
  </w:footnote>
  <w:footnote w:type="continuationNotice" w:id="1">
    <w:p w14:paraId="7F797A53" w14:textId="77777777" w:rsidR="004D66BD" w:rsidRDefault="004D66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E7C3" w14:textId="7F764EEA" w:rsidR="003314D7" w:rsidRDefault="001262E1" w:rsidP="001262E1">
    <w:pPr>
      <w:pStyle w:val="Header"/>
      <w:pBdr>
        <w:bottom w:val="thickThinSmallGap" w:sz="24" w:space="1" w:color="622423" w:themeColor="accent2" w:themeShade="7F"/>
      </w:pBdr>
      <w:jc w:val="center"/>
      <w:rPr>
        <w:rFonts w:eastAsiaTheme="majorEastAsia"/>
        <w:szCs w:val="32"/>
        <w:lang w:val="fr-CH"/>
      </w:rPr>
    </w:pPr>
    <w:r>
      <w:rPr>
        <w:rFonts w:eastAsiaTheme="majorEastAsia"/>
        <w:szCs w:val="32"/>
        <w:lang w:val="fr-CH"/>
      </w:rPr>
      <w:t xml:space="preserve">BOTOX Succinct </w:t>
    </w:r>
    <w:proofErr w:type="spellStart"/>
    <w:r>
      <w:rPr>
        <w:rFonts w:eastAsiaTheme="majorEastAsia"/>
        <w:szCs w:val="32"/>
        <w:lang w:val="fr-CH"/>
      </w:rPr>
      <w:t>Statement</w:t>
    </w:r>
    <w:proofErr w:type="spellEnd"/>
  </w:p>
  <w:p w14:paraId="78BE5167" w14:textId="0BA813C2" w:rsidR="001262E1" w:rsidRDefault="001262E1" w:rsidP="001262E1">
    <w:pPr>
      <w:pStyle w:val="Header"/>
      <w:pBdr>
        <w:bottom w:val="thickThinSmallGap" w:sz="24" w:space="1" w:color="622423" w:themeColor="accent2" w:themeShade="7F"/>
      </w:pBdr>
      <w:jc w:val="center"/>
      <w:rPr>
        <w:rFonts w:eastAsiaTheme="majorEastAsia"/>
        <w:szCs w:val="32"/>
        <w:lang w:val="fr-CH"/>
      </w:rPr>
    </w:pPr>
    <w:r>
      <w:rPr>
        <w:rFonts w:eastAsiaTheme="majorEastAsia"/>
        <w:szCs w:val="32"/>
        <w:lang w:val="fr-CH"/>
      </w:rPr>
      <w:t>E</w:t>
    </w:r>
    <w:r w:rsidR="00BA5B3A">
      <w:rPr>
        <w:rFonts w:eastAsiaTheme="majorEastAsia"/>
        <w:szCs w:val="32"/>
        <w:lang w:val="fr-CH"/>
      </w:rPr>
      <w:t>N</w:t>
    </w:r>
  </w:p>
  <w:p w14:paraId="06C23632" w14:textId="77777777" w:rsidR="001262E1" w:rsidRPr="001262E1" w:rsidRDefault="001262E1" w:rsidP="001262E1">
    <w:pPr>
      <w:pStyle w:val="Header"/>
      <w:pBdr>
        <w:bottom w:val="thickThinSmallGap" w:sz="24" w:space="1" w:color="622423" w:themeColor="accent2" w:themeShade="7F"/>
      </w:pBdr>
      <w:jc w:val="center"/>
      <w:rPr>
        <w:rFonts w:eastAsiaTheme="majorEastAsia"/>
        <w:szCs w:val="3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B05C0"/>
    <w:multiLevelType w:val="hybridMultilevel"/>
    <w:tmpl w:val="67861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69575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23"/>
    <w:rsid w:val="00005001"/>
    <w:rsid w:val="000109C6"/>
    <w:rsid w:val="00016979"/>
    <w:rsid w:val="00024F2E"/>
    <w:rsid w:val="00044417"/>
    <w:rsid w:val="000572B2"/>
    <w:rsid w:val="00071961"/>
    <w:rsid w:val="00074EF5"/>
    <w:rsid w:val="00075C4F"/>
    <w:rsid w:val="00082ADF"/>
    <w:rsid w:val="000A252E"/>
    <w:rsid w:val="000B5883"/>
    <w:rsid w:val="000C4131"/>
    <w:rsid w:val="000C6BB0"/>
    <w:rsid w:val="000E163D"/>
    <w:rsid w:val="0010399F"/>
    <w:rsid w:val="00123A6B"/>
    <w:rsid w:val="00124226"/>
    <w:rsid w:val="001262E1"/>
    <w:rsid w:val="0012651C"/>
    <w:rsid w:val="00134A7D"/>
    <w:rsid w:val="00146A21"/>
    <w:rsid w:val="00153D98"/>
    <w:rsid w:val="001558F6"/>
    <w:rsid w:val="00170F8D"/>
    <w:rsid w:val="00171801"/>
    <w:rsid w:val="00177C39"/>
    <w:rsid w:val="001851CA"/>
    <w:rsid w:val="001C39AC"/>
    <w:rsid w:val="001C3B40"/>
    <w:rsid w:val="001C542F"/>
    <w:rsid w:val="001C6F3E"/>
    <w:rsid w:val="001E1B41"/>
    <w:rsid w:val="001F1AFE"/>
    <w:rsid w:val="001F2659"/>
    <w:rsid w:val="00207833"/>
    <w:rsid w:val="00210FC8"/>
    <w:rsid w:val="00226B1A"/>
    <w:rsid w:val="0023250A"/>
    <w:rsid w:val="002549AE"/>
    <w:rsid w:val="0025704B"/>
    <w:rsid w:val="002646A6"/>
    <w:rsid w:val="00272B88"/>
    <w:rsid w:val="002A5C6C"/>
    <w:rsid w:val="002B1258"/>
    <w:rsid w:val="002B6BB7"/>
    <w:rsid w:val="002C0F45"/>
    <w:rsid w:val="002C11DE"/>
    <w:rsid w:val="002C47CA"/>
    <w:rsid w:val="002C71F4"/>
    <w:rsid w:val="002C7D7B"/>
    <w:rsid w:val="002D4A8A"/>
    <w:rsid w:val="002E708A"/>
    <w:rsid w:val="002F00DC"/>
    <w:rsid w:val="003169A3"/>
    <w:rsid w:val="00330F04"/>
    <w:rsid w:val="003314D7"/>
    <w:rsid w:val="003326A3"/>
    <w:rsid w:val="00333C43"/>
    <w:rsid w:val="00337F96"/>
    <w:rsid w:val="00367FEC"/>
    <w:rsid w:val="0037263D"/>
    <w:rsid w:val="003765E4"/>
    <w:rsid w:val="00384DF8"/>
    <w:rsid w:val="003B5EBF"/>
    <w:rsid w:val="003D1D64"/>
    <w:rsid w:val="003D1D8F"/>
    <w:rsid w:val="003D3285"/>
    <w:rsid w:val="003F4C8A"/>
    <w:rsid w:val="003F6D0F"/>
    <w:rsid w:val="0040215B"/>
    <w:rsid w:val="0042324B"/>
    <w:rsid w:val="00445AAD"/>
    <w:rsid w:val="004519CC"/>
    <w:rsid w:val="00463FAD"/>
    <w:rsid w:val="004758C4"/>
    <w:rsid w:val="00494FF8"/>
    <w:rsid w:val="004B06C8"/>
    <w:rsid w:val="004B4E14"/>
    <w:rsid w:val="004C0B0F"/>
    <w:rsid w:val="004C6A35"/>
    <w:rsid w:val="004D66BD"/>
    <w:rsid w:val="004F3C86"/>
    <w:rsid w:val="005237E0"/>
    <w:rsid w:val="00536F29"/>
    <w:rsid w:val="00545CF3"/>
    <w:rsid w:val="005509EA"/>
    <w:rsid w:val="00561888"/>
    <w:rsid w:val="00562282"/>
    <w:rsid w:val="00571CE2"/>
    <w:rsid w:val="00574A1D"/>
    <w:rsid w:val="00576EED"/>
    <w:rsid w:val="005908C0"/>
    <w:rsid w:val="0059126E"/>
    <w:rsid w:val="0059587C"/>
    <w:rsid w:val="005967AA"/>
    <w:rsid w:val="005A3263"/>
    <w:rsid w:val="005B0D93"/>
    <w:rsid w:val="005B7D3B"/>
    <w:rsid w:val="005D4362"/>
    <w:rsid w:val="005D6F7A"/>
    <w:rsid w:val="006238FF"/>
    <w:rsid w:val="00623EAB"/>
    <w:rsid w:val="0062484B"/>
    <w:rsid w:val="00642EFD"/>
    <w:rsid w:val="00662310"/>
    <w:rsid w:val="0069279E"/>
    <w:rsid w:val="0069375B"/>
    <w:rsid w:val="0069504F"/>
    <w:rsid w:val="00695C05"/>
    <w:rsid w:val="00696E1B"/>
    <w:rsid w:val="006A02D5"/>
    <w:rsid w:val="006A0B4C"/>
    <w:rsid w:val="006B4DEA"/>
    <w:rsid w:val="006B71C8"/>
    <w:rsid w:val="006C268C"/>
    <w:rsid w:val="006D4648"/>
    <w:rsid w:val="006E5CBA"/>
    <w:rsid w:val="006F4B38"/>
    <w:rsid w:val="006F75AC"/>
    <w:rsid w:val="006F798B"/>
    <w:rsid w:val="00701A6E"/>
    <w:rsid w:val="00714523"/>
    <w:rsid w:val="0071472A"/>
    <w:rsid w:val="0072165E"/>
    <w:rsid w:val="00722758"/>
    <w:rsid w:val="007440A6"/>
    <w:rsid w:val="00751BCF"/>
    <w:rsid w:val="0075661B"/>
    <w:rsid w:val="00767A28"/>
    <w:rsid w:val="00774A12"/>
    <w:rsid w:val="007A0B01"/>
    <w:rsid w:val="007A1F06"/>
    <w:rsid w:val="007A3921"/>
    <w:rsid w:val="007B77E5"/>
    <w:rsid w:val="007C0AA9"/>
    <w:rsid w:val="007C0B46"/>
    <w:rsid w:val="007C78CD"/>
    <w:rsid w:val="007D1271"/>
    <w:rsid w:val="007F4F5E"/>
    <w:rsid w:val="00817929"/>
    <w:rsid w:val="00823F4A"/>
    <w:rsid w:val="0083435D"/>
    <w:rsid w:val="00835126"/>
    <w:rsid w:val="008413D3"/>
    <w:rsid w:val="008460A5"/>
    <w:rsid w:val="00851A3E"/>
    <w:rsid w:val="00857333"/>
    <w:rsid w:val="00862D86"/>
    <w:rsid w:val="00871B30"/>
    <w:rsid w:val="00876CC9"/>
    <w:rsid w:val="00881FF1"/>
    <w:rsid w:val="00885F22"/>
    <w:rsid w:val="008956FC"/>
    <w:rsid w:val="008A034F"/>
    <w:rsid w:val="008A6867"/>
    <w:rsid w:val="008E26D6"/>
    <w:rsid w:val="008E318C"/>
    <w:rsid w:val="008F1C1F"/>
    <w:rsid w:val="00903760"/>
    <w:rsid w:val="00906FD6"/>
    <w:rsid w:val="009148DC"/>
    <w:rsid w:val="00914CFC"/>
    <w:rsid w:val="00932FFA"/>
    <w:rsid w:val="00946686"/>
    <w:rsid w:val="00946A07"/>
    <w:rsid w:val="00950006"/>
    <w:rsid w:val="0095180C"/>
    <w:rsid w:val="00952C7D"/>
    <w:rsid w:val="0095662A"/>
    <w:rsid w:val="00964708"/>
    <w:rsid w:val="00975415"/>
    <w:rsid w:val="009768C1"/>
    <w:rsid w:val="00980190"/>
    <w:rsid w:val="00992D7B"/>
    <w:rsid w:val="0099586B"/>
    <w:rsid w:val="009B16F9"/>
    <w:rsid w:val="009B351A"/>
    <w:rsid w:val="009C7928"/>
    <w:rsid w:val="009D1CAC"/>
    <w:rsid w:val="009D4277"/>
    <w:rsid w:val="009D4E1C"/>
    <w:rsid w:val="009E3BE5"/>
    <w:rsid w:val="009F080A"/>
    <w:rsid w:val="00A012A8"/>
    <w:rsid w:val="00A07153"/>
    <w:rsid w:val="00A136FF"/>
    <w:rsid w:val="00A264FE"/>
    <w:rsid w:val="00A316C0"/>
    <w:rsid w:val="00A3460B"/>
    <w:rsid w:val="00A44D15"/>
    <w:rsid w:val="00A530F5"/>
    <w:rsid w:val="00A721E6"/>
    <w:rsid w:val="00A741BB"/>
    <w:rsid w:val="00A820A2"/>
    <w:rsid w:val="00A8329A"/>
    <w:rsid w:val="00A85F31"/>
    <w:rsid w:val="00A90F54"/>
    <w:rsid w:val="00A914FF"/>
    <w:rsid w:val="00AD2E94"/>
    <w:rsid w:val="00AD4B94"/>
    <w:rsid w:val="00AF6EEF"/>
    <w:rsid w:val="00B025EE"/>
    <w:rsid w:val="00B07609"/>
    <w:rsid w:val="00B124BC"/>
    <w:rsid w:val="00B174B5"/>
    <w:rsid w:val="00B24E8D"/>
    <w:rsid w:val="00B305D7"/>
    <w:rsid w:val="00B46034"/>
    <w:rsid w:val="00B46541"/>
    <w:rsid w:val="00B74F5F"/>
    <w:rsid w:val="00B8213A"/>
    <w:rsid w:val="00BA5B3A"/>
    <w:rsid w:val="00BB1A5C"/>
    <w:rsid w:val="00BC51F3"/>
    <w:rsid w:val="00BD2777"/>
    <w:rsid w:val="00BE32F6"/>
    <w:rsid w:val="00BE526B"/>
    <w:rsid w:val="00BE7464"/>
    <w:rsid w:val="00BF2776"/>
    <w:rsid w:val="00C12181"/>
    <w:rsid w:val="00C12F56"/>
    <w:rsid w:val="00C46871"/>
    <w:rsid w:val="00C52422"/>
    <w:rsid w:val="00C5597B"/>
    <w:rsid w:val="00C56331"/>
    <w:rsid w:val="00C718AA"/>
    <w:rsid w:val="00C74D8F"/>
    <w:rsid w:val="00C87AC5"/>
    <w:rsid w:val="00C95F1C"/>
    <w:rsid w:val="00CA5B85"/>
    <w:rsid w:val="00CB32CC"/>
    <w:rsid w:val="00CB572F"/>
    <w:rsid w:val="00CB5907"/>
    <w:rsid w:val="00CB69B1"/>
    <w:rsid w:val="00CC1E7F"/>
    <w:rsid w:val="00CD1D75"/>
    <w:rsid w:val="00CF207F"/>
    <w:rsid w:val="00D30349"/>
    <w:rsid w:val="00D32E31"/>
    <w:rsid w:val="00D43E3C"/>
    <w:rsid w:val="00D463EB"/>
    <w:rsid w:val="00D60B77"/>
    <w:rsid w:val="00D97846"/>
    <w:rsid w:val="00DA08E3"/>
    <w:rsid w:val="00DA69C7"/>
    <w:rsid w:val="00DB722C"/>
    <w:rsid w:val="00DC280B"/>
    <w:rsid w:val="00DD3788"/>
    <w:rsid w:val="00DD5500"/>
    <w:rsid w:val="00DE123A"/>
    <w:rsid w:val="00DF28A5"/>
    <w:rsid w:val="00DF6784"/>
    <w:rsid w:val="00E13409"/>
    <w:rsid w:val="00E2343D"/>
    <w:rsid w:val="00E427EB"/>
    <w:rsid w:val="00E8576E"/>
    <w:rsid w:val="00E85BE7"/>
    <w:rsid w:val="00E90FD4"/>
    <w:rsid w:val="00E93FA1"/>
    <w:rsid w:val="00E97558"/>
    <w:rsid w:val="00EB02CB"/>
    <w:rsid w:val="00EB5A72"/>
    <w:rsid w:val="00F03A28"/>
    <w:rsid w:val="00F068B4"/>
    <w:rsid w:val="00F078FA"/>
    <w:rsid w:val="00F10C8F"/>
    <w:rsid w:val="00F23608"/>
    <w:rsid w:val="00F40211"/>
    <w:rsid w:val="00F676E0"/>
    <w:rsid w:val="00F67786"/>
    <w:rsid w:val="00F67953"/>
    <w:rsid w:val="00F72C26"/>
    <w:rsid w:val="00F964D1"/>
    <w:rsid w:val="00FB2341"/>
    <w:rsid w:val="00FC1EFB"/>
    <w:rsid w:val="00FD73AF"/>
    <w:rsid w:val="00FE0BE6"/>
    <w:rsid w:val="00FE29E4"/>
    <w:rsid w:val="00FF25E7"/>
    <w:rsid w:val="00FF46F9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E4FE7B0"/>
  <w15:docId w15:val="{F2A5A8B9-77A5-4803-B4CC-C5670FED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97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C5597B"/>
    <w:pPr>
      <w:keepNext/>
      <w:outlineLvl w:val="0"/>
    </w:pPr>
    <w:rPr>
      <w:i/>
      <w:iCs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597B"/>
    <w:pPr>
      <w:jc w:val="both"/>
    </w:pPr>
    <w:rPr>
      <w:b/>
      <w:bCs/>
      <w:lang w:val="de-CH"/>
    </w:rPr>
  </w:style>
  <w:style w:type="paragraph" w:styleId="Header">
    <w:name w:val="header"/>
    <w:basedOn w:val="Normal"/>
    <w:link w:val="HeaderChar"/>
    <w:uiPriority w:val="99"/>
    <w:rsid w:val="003314D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4D7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3314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4D7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331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14D7"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basedOn w:val="DefaultParagraphFont"/>
    <w:link w:val="BodyText"/>
    <w:rsid w:val="00124226"/>
    <w:rPr>
      <w:b/>
      <w:bCs/>
      <w:sz w:val="24"/>
      <w:szCs w:val="24"/>
      <w:lang w:val="de-CH"/>
    </w:rPr>
  </w:style>
  <w:style w:type="character" w:styleId="Hyperlink">
    <w:name w:val="Hyperlink"/>
    <w:basedOn w:val="DefaultParagraphFont"/>
    <w:uiPriority w:val="99"/>
    <w:unhideWhenUsed/>
    <w:rsid w:val="00126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883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2012-10-03T00:00:00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c23645ec-25cb-41f8-9e99-90ff87cb74ba">
      <Terms xmlns="http://schemas.microsoft.com/office/infopath/2007/PartnerControls"/>
    </lcf76f155ced4ddcb4097134ff3c332f>
    <TaxCatchAll xmlns="2ffc0bb4-c465-441e-9597-417e7db4d9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2E0D6C52D404B954442D564E80621" ma:contentTypeVersion="17" ma:contentTypeDescription="Create a new document." ma:contentTypeScope="" ma:versionID="fc5cfe7e404cc91b035287f7cd6bbe5b">
  <xsd:schema xmlns:xsd="http://www.w3.org/2001/XMLSchema" xmlns:xs="http://www.w3.org/2001/XMLSchema" xmlns:p="http://schemas.microsoft.com/office/2006/metadata/properties" xmlns:ns2="c23645ec-25cb-41f8-9e99-90ff87cb74ba" xmlns:ns3="2ffc0bb4-c465-441e-9597-417e7db4d99d" targetNamespace="http://schemas.microsoft.com/office/2006/metadata/properties" ma:root="true" ma:fieldsID="8190afb63042b3c0b4165fa8ecf665f0" ns2:_="" ns3:_="">
    <xsd:import namespace="c23645ec-25cb-41f8-9e99-90ff87cb74ba"/>
    <xsd:import namespace="2ffc0bb4-c465-441e-9597-417e7db4d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645ec-25cb-41f8-9e99-90ff87cb7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c0bb4-c465-441e-9597-417e7db4d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87c8db-c950-4f1f-8059-afe24e577dd0}" ma:internalName="TaxCatchAll" ma:showField="CatchAllData" ma:web="2ffc0bb4-c465-441e-9597-417e7db4d9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AAB66B-9967-4A05-B9A3-46F14414AD39}">
  <ds:schemaRefs>
    <ds:schemaRef ds:uri="http://schemas.microsoft.com/office/2006/metadata/properties"/>
    <ds:schemaRef ds:uri="c23645ec-25cb-41f8-9e99-90ff87cb74ba"/>
    <ds:schemaRef ds:uri="http://schemas.microsoft.com/office/infopath/2007/PartnerControls"/>
    <ds:schemaRef ds:uri="2ffc0bb4-c465-441e-9597-417e7db4d99d"/>
  </ds:schemaRefs>
</ds:datastoreItem>
</file>

<file path=customXml/itemProps3.xml><?xml version="1.0" encoding="utf-8"?>
<ds:datastoreItem xmlns:ds="http://schemas.openxmlformats.org/officeDocument/2006/customXml" ds:itemID="{616B29CA-92E9-4A4A-9AF7-0012E2ACA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645ec-25cb-41f8-9e99-90ff87cb74ba"/>
    <ds:schemaRef ds:uri="2ffc0bb4-c465-441e-9597-417e7db4d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99E912-B2F6-4D89-B3F4-1FB227421C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927053-6307-46C3-8552-17F7AC7B4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 – FR - EN</vt:lpstr>
      <vt:lpstr>DE – FR - EN</vt:lpstr>
    </vt:vector>
  </TitlesOfParts>
  <Company>Allergan AB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– FR - EN</dc:title>
  <dc:creator>PFC</dc:creator>
  <cp:lastModifiedBy>Voigt, Katrin-Caroline</cp:lastModifiedBy>
  <cp:revision>3</cp:revision>
  <cp:lastPrinted>2017-07-26T11:17:00Z</cp:lastPrinted>
  <dcterms:created xsi:type="dcterms:W3CDTF">2023-08-11T08:42:00Z</dcterms:created>
  <dcterms:modified xsi:type="dcterms:W3CDTF">2023-08-31T13:12:00Z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0x01010095A2E0D6C52D404B954442D564E80621</vt:lpwstr>
  </property>
  <property fmtid="{D5CDD505-2E9C-101B-9397-08002B2CF9AE}" pid="3" name="Order">
    <vt:r8>41929600</vt:r8>
  </property>
  <property fmtid="{D5CDD505-2E9C-101B-9397-08002B2CF9AE}" pid="4" name="MediaServiceImageTags">
    <vt:lpwstr/>
  </property>
</Properties>
</file>