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E7B5" w14:textId="1D32FEE6" w:rsidR="00124226" w:rsidRPr="001262E1" w:rsidRDefault="00124226" w:rsidP="001262E1">
      <w:pPr>
        <w:spacing w:line="276" w:lineRule="auto"/>
        <w:jc w:val="both"/>
        <w:rPr>
          <w:rFonts w:ascii="Arial" w:hAnsi="Arial" w:cs="Arial"/>
          <w:sz w:val="20"/>
          <w:szCs w:val="20"/>
          <w:lang w:val="de-CH" w:eastAsia="de-CH"/>
        </w:rPr>
      </w:pPr>
    </w:p>
    <w:p w14:paraId="7DEE9082" w14:textId="5DF15CC5" w:rsidR="00337F96" w:rsidRPr="00E2343D" w:rsidRDefault="00337F96" w:rsidP="00337F96">
      <w:pPr>
        <w:autoSpaceDE w:val="0"/>
        <w:autoSpaceDN w:val="0"/>
        <w:adjustRightInd w:val="0"/>
        <w:snapToGrid w:val="0"/>
        <w:rPr>
          <w:rFonts w:ascii="Arial" w:hAnsi="Arial" w:cs="Arial"/>
          <w:b/>
          <w:color w:val="000000" w:themeColor="text1"/>
          <w:sz w:val="20"/>
          <w:szCs w:val="20"/>
          <w:highlight w:val="lightGray"/>
          <w:lang w:val="de-CH" w:eastAsia="de-CH"/>
        </w:rPr>
      </w:pPr>
      <w:r w:rsidRPr="00E2343D">
        <w:rPr>
          <w:rFonts w:ascii="Arial" w:hAnsi="Arial" w:cs="Arial"/>
          <w:b/>
          <w:color w:val="000000" w:themeColor="text1"/>
          <w:sz w:val="20"/>
          <w:szCs w:val="20"/>
          <w:highlight w:val="lightGray"/>
          <w:lang w:val="de-CH" w:eastAsia="de-CH"/>
        </w:rPr>
        <w:t xml:space="preserve">Kurzfassung Fachinformation </w:t>
      </w:r>
      <w:r w:rsidR="00B07609" w:rsidRPr="00E2343D">
        <w:rPr>
          <w:rFonts w:ascii="Arial" w:hAnsi="Arial" w:cs="Arial"/>
          <w:bCs/>
          <w:color w:val="000000" w:themeColor="text1"/>
          <w:sz w:val="20"/>
          <w:szCs w:val="20"/>
          <w:highlight w:val="lightGray"/>
          <w:lang w:val="de-CH" w:eastAsia="de-CH"/>
        </w:rPr>
        <w:t>BOTOX</w:t>
      </w:r>
      <w:r w:rsidRPr="0069482B">
        <w:rPr>
          <w:rFonts w:ascii="Arial" w:hAnsi="Arial" w:cs="Arial"/>
          <w:bCs/>
          <w:color w:val="000000" w:themeColor="text1"/>
          <w:sz w:val="20"/>
          <w:szCs w:val="20"/>
          <w:highlight w:val="lightGray"/>
          <w:vertAlign w:val="superscript"/>
          <w:lang w:val="de-CH" w:eastAsia="de-CH"/>
        </w:rPr>
        <w:t>®</w:t>
      </w:r>
      <w:r w:rsidRPr="00E2343D">
        <w:rPr>
          <w:rFonts w:ascii="Arial" w:hAnsi="Arial" w:cs="Arial"/>
          <w:bCs/>
          <w:color w:val="000000" w:themeColor="text1"/>
          <w:sz w:val="20"/>
          <w:szCs w:val="20"/>
          <w:highlight w:val="lightGray"/>
          <w:lang w:val="de-CH" w:eastAsia="de-CH"/>
        </w:rPr>
        <w:t xml:space="preserve"> (</w:t>
      </w:r>
      <w:r w:rsidR="00B07609" w:rsidRPr="00E2343D">
        <w:rPr>
          <w:rFonts w:ascii="Arial" w:hAnsi="Arial" w:cs="Arial"/>
          <w:bCs/>
          <w:color w:val="000000" w:themeColor="text1"/>
          <w:sz w:val="20"/>
          <w:szCs w:val="20"/>
          <w:highlight w:val="lightGray"/>
          <w:lang w:val="de-CH" w:eastAsia="de-CH"/>
        </w:rPr>
        <w:t>Botulinumtoxin-A</w:t>
      </w:r>
      <w:r w:rsidRPr="00E2343D">
        <w:rPr>
          <w:rFonts w:ascii="Arial" w:hAnsi="Arial" w:cs="Arial"/>
          <w:bCs/>
          <w:color w:val="000000" w:themeColor="text1"/>
          <w:sz w:val="20"/>
          <w:szCs w:val="20"/>
          <w:highlight w:val="lightGray"/>
          <w:lang w:val="de-CH" w:eastAsia="de-CH"/>
        </w:rPr>
        <w:t>)</w:t>
      </w:r>
      <w:r w:rsidR="00B07609" w:rsidRPr="00E2343D">
        <w:rPr>
          <w:rFonts w:ascii="Arial" w:hAnsi="Arial" w:cs="Arial"/>
          <w:bCs/>
          <w:color w:val="000000" w:themeColor="text1"/>
          <w:sz w:val="20"/>
          <w:szCs w:val="20"/>
          <w:highlight w:val="lightGray"/>
          <w:lang w:val="de-CH" w:eastAsia="de-CH"/>
        </w:rPr>
        <w:t xml:space="preserve"> </w:t>
      </w:r>
      <w:r w:rsidR="00D77914" w:rsidRPr="00B60E6F">
        <w:rPr>
          <w:rFonts w:ascii="Arial" w:hAnsi="Arial" w:cs="Arial"/>
          <w:bCs/>
          <w:color w:val="000000" w:themeColor="text1"/>
          <w:sz w:val="20"/>
          <w:szCs w:val="20"/>
          <w:highlight w:val="lightGray"/>
          <w:lang w:val="de-CH" w:eastAsia="de-CH"/>
        </w:rPr>
        <w:t xml:space="preserve">50 und </w:t>
      </w:r>
      <w:r w:rsidR="00B07609" w:rsidRPr="00E2343D">
        <w:rPr>
          <w:rFonts w:ascii="Arial" w:hAnsi="Arial" w:cs="Arial"/>
          <w:bCs/>
          <w:color w:val="000000" w:themeColor="text1"/>
          <w:sz w:val="20"/>
          <w:szCs w:val="20"/>
          <w:highlight w:val="lightGray"/>
          <w:lang w:val="de-CH" w:eastAsia="de-CH"/>
        </w:rPr>
        <w:t>100 Allergan-Einheiten</w:t>
      </w:r>
    </w:p>
    <w:p w14:paraId="3D99D5D2" w14:textId="77777777" w:rsidR="00E427EB" w:rsidRPr="00E2343D" w:rsidRDefault="00E427EB" w:rsidP="001262E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de-CH" w:eastAsia="de-CH"/>
        </w:rPr>
      </w:pPr>
    </w:p>
    <w:p w14:paraId="39C8B8BE" w14:textId="7F8F1224" w:rsidR="0069482B" w:rsidRPr="0011328A" w:rsidRDefault="00B07609" w:rsidP="0011328A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2343D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I:</w:t>
      </w:r>
      <w:r w:rsidRPr="00E2343D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Neurologie: Symptomatische Behandlung von Blepharospasmus, Spasmus hemifacialis u. Assoziierten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fokalen Dystonien sowie Strabismuskorrektur, jeweils bei Pat. &gt; 12 Jahre.</w:t>
      </w:r>
      <w:r w:rsidR="0032295F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32295F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Symptomatische Behandlung von </w:t>
      </w:r>
      <w:r w:rsidR="0032295F">
        <w:rPr>
          <w:rFonts w:ascii="Arial" w:hAnsi="Arial" w:cs="Arial"/>
          <w:color w:val="000000" w:themeColor="text1"/>
          <w:sz w:val="20"/>
          <w:szCs w:val="20"/>
          <w:lang w:val="de-CH"/>
        </w:rPr>
        <w:t>z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ervikale</w:t>
      </w:r>
      <w:r w:rsidR="001D524F">
        <w:rPr>
          <w:rFonts w:ascii="Arial" w:hAnsi="Arial" w:cs="Arial"/>
          <w:color w:val="000000" w:themeColor="text1"/>
          <w:sz w:val="20"/>
          <w:szCs w:val="20"/>
          <w:lang w:val="de-CH"/>
        </w:rPr>
        <w:t>r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Dystonie (Torticollis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spasticus) bei Erwachsenen, symptomatische Behandlung der fokalen Spastizität der oberen und unteren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Extremität bei Erwachsenen, Jugendlichen und Kindern ab 2 Jahren.</w:t>
      </w:r>
      <w:r w:rsidR="003B1C15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Prophylaxe von Kopfschmerzen bei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erwachsenen Patienten mit chronischer Migräne.</w:t>
      </w:r>
      <w:r w:rsidR="003B1C15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Haut: Primäre Hyperhidrosis axillae bei Erwachsenen.</w:t>
      </w:r>
      <w:r w:rsidR="0046312E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Blase: Überaktive Blase mit den Symptomen Harninkontinenz, Harndrang und häufige Miktion bei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Patienten, die nicht ausreichend auf Anticholinergika ansprechen oder Unverträglichkeit aufweisen.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925257" w:rsidRPr="00925257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Behandlung der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Harninkontinenz infolge neurogener Detrusorhyperaktivität</w:t>
      </w:r>
      <w:r w:rsidR="00CB0DDF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CB0DDF" w:rsidRPr="00CB0DDF">
        <w:rPr>
          <w:rFonts w:ascii="Arial" w:hAnsi="Arial" w:cs="Arial"/>
          <w:color w:val="000000" w:themeColor="text1"/>
          <w:sz w:val="20"/>
          <w:szCs w:val="20"/>
          <w:lang w:val="de-CH"/>
        </w:rPr>
        <w:t>(Neurogenic Detrusor Overactivity (NDO))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i</w:t>
      </w:r>
      <w:r w:rsidR="00CB0DDF">
        <w:rPr>
          <w:rFonts w:ascii="Arial" w:hAnsi="Arial" w:cs="Arial"/>
          <w:color w:val="000000" w:themeColor="text1"/>
          <w:sz w:val="20"/>
          <w:szCs w:val="20"/>
          <w:lang w:val="de-CH"/>
        </w:rPr>
        <w:t>m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Zusammenhang mit einer neurologischen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Erkrankung (wie z.B. Rückenmarksverletzung, Multiple Sklerose) bei Erwachsenen.</w:t>
      </w:r>
      <w:r w:rsidR="0046312E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CB0DDF">
        <w:rPr>
          <w:rFonts w:ascii="Arial" w:hAnsi="Arial" w:cs="Arial"/>
          <w:color w:val="000000" w:themeColor="text1"/>
          <w:sz w:val="20"/>
          <w:szCs w:val="20"/>
          <w:lang w:val="de-CH"/>
        </w:rPr>
        <w:t>Behandlung der n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eurogene</w:t>
      </w:r>
      <w:r w:rsidR="001D524F">
        <w:rPr>
          <w:rFonts w:ascii="Arial" w:hAnsi="Arial" w:cs="Arial"/>
          <w:color w:val="000000" w:themeColor="text1"/>
          <w:sz w:val="20"/>
          <w:szCs w:val="20"/>
          <w:lang w:val="de-CH"/>
        </w:rPr>
        <w:t>n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Detrusorhyperaktivität im Zusammenhang mit einer neurologischen Erkrankung (wie z.B. Spina bifida,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Rückenmarksläsion) bei pädiatrischen Patienten ab 5 Jahren, bei denen die Blase durch regelmässigen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Einmalkatheterismus zuverlässig entleert wird und die unzureichend auf anticholinerge Arzneimittel</w:t>
      </w:r>
      <w:r w:rsidR="0011328A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11328A" w:rsidRPr="0011328A">
        <w:rPr>
          <w:rFonts w:ascii="Arial" w:hAnsi="Arial" w:cs="Arial"/>
          <w:color w:val="000000" w:themeColor="text1"/>
          <w:sz w:val="20"/>
          <w:szCs w:val="20"/>
          <w:lang w:val="de-CH"/>
        </w:rPr>
        <w:t>ansprechen oder diese nicht vertragen.</w:t>
      </w:r>
      <w:r w:rsidRPr="001351BF">
        <w:rPr>
          <w:rFonts w:ascii="Arial" w:hAnsi="Arial" w:cs="Arial"/>
          <w:sz w:val="20"/>
          <w:szCs w:val="20"/>
          <w:lang w:val="de-CH"/>
        </w:rPr>
        <w:t xml:space="preserve"> </w:t>
      </w:r>
      <w:r w:rsidRPr="001351BF">
        <w:rPr>
          <w:rFonts w:ascii="Arial" w:hAnsi="Arial" w:cs="Arial"/>
          <w:b/>
          <w:bCs/>
          <w:sz w:val="20"/>
          <w:szCs w:val="20"/>
          <w:lang w:val="x-none"/>
        </w:rPr>
        <w:t>D:</w:t>
      </w:r>
      <w:r w:rsidRPr="001351BF">
        <w:rPr>
          <w:rFonts w:ascii="Arial" w:hAnsi="Arial" w:cs="Arial"/>
          <w:sz w:val="20"/>
          <w:szCs w:val="20"/>
          <w:lang w:val="x-none"/>
        </w:rPr>
        <w:t xml:space="preserve"> </w:t>
      </w:r>
      <w:r w:rsidRPr="001351BF">
        <w:rPr>
          <w:rFonts w:ascii="Arial" w:hAnsi="Arial" w:cs="Arial"/>
          <w:sz w:val="20"/>
          <w:szCs w:val="20"/>
          <w:lang w:val="de-DE"/>
        </w:rPr>
        <w:t>Botulinumtoxin</w:t>
      </w:r>
      <w:r w:rsidR="00CF207F" w:rsidRPr="001351BF">
        <w:rPr>
          <w:rFonts w:ascii="Arial" w:hAnsi="Arial" w:cs="Arial"/>
          <w:sz w:val="20"/>
          <w:szCs w:val="20"/>
          <w:lang w:val="de-DE"/>
        </w:rPr>
        <w:t>-</w:t>
      </w:r>
      <w:r w:rsidRPr="001351BF">
        <w:rPr>
          <w:rFonts w:ascii="Arial" w:hAnsi="Arial" w:cs="Arial"/>
          <w:sz w:val="20"/>
          <w:szCs w:val="20"/>
          <w:lang w:val="de-DE"/>
        </w:rPr>
        <w:t>Einheiten sind nicht auf andere Präparate</w:t>
      </w:r>
      <w:r w:rsidR="0011328A">
        <w:rPr>
          <w:rFonts w:ascii="Arial" w:hAnsi="Arial" w:cs="Arial"/>
          <w:sz w:val="20"/>
          <w:szCs w:val="20"/>
          <w:lang w:val="de-DE"/>
        </w:rPr>
        <w:t xml:space="preserve"> </w:t>
      </w:r>
      <w:r w:rsidRPr="001351BF">
        <w:rPr>
          <w:rFonts w:ascii="Arial" w:hAnsi="Arial" w:cs="Arial"/>
          <w:sz w:val="20"/>
          <w:szCs w:val="20"/>
          <w:lang w:val="de-DE"/>
        </w:rPr>
        <w:t>übertragbar. Anw</w:t>
      </w:r>
      <w:r w:rsidR="00B025EE" w:rsidRPr="001351BF">
        <w:rPr>
          <w:rFonts w:ascii="Arial" w:hAnsi="Arial" w:cs="Arial"/>
          <w:sz w:val="20"/>
          <w:szCs w:val="20"/>
          <w:lang w:val="de-DE"/>
        </w:rPr>
        <w:t>endung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nur durch Fachärzte mit entspr</w:t>
      </w:r>
      <w:r w:rsidR="00B025EE" w:rsidRPr="001351BF">
        <w:rPr>
          <w:rFonts w:ascii="Arial" w:hAnsi="Arial" w:cs="Arial"/>
          <w:sz w:val="20"/>
          <w:szCs w:val="20"/>
          <w:lang w:val="de-DE"/>
        </w:rPr>
        <w:t>echender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Erfahrung u. Ausstattung (z.B. EMG).</w:t>
      </w:r>
      <w:r w:rsidR="0011328A">
        <w:rPr>
          <w:rFonts w:ascii="Arial" w:hAnsi="Arial" w:cs="Arial"/>
          <w:sz w:val="20"/>
          <w:szCs w:val="20"/>
          <w:lang w:val="de-DE"/>
        </w:rPr>
        <w:t xml:space="preserve"> </w:t>
      </w:r>
      <w:r w:rsidRPr="001351BF">
        <w:rPr>
          <w:rFonts w:ascii="Arial" w:hAnsi="Arial" w:cs="Arial"/>
          <w:sz w:val="20"/>
          <w:szCs w:val="20"/>
          <w:lang w:val="de-DE"/>
        </w:rPr>
        <w:t>Indikationsabhängig und individuelle Festlegung einer optimalen Dosis durch Dosistitration.</w:t>
      </w:r>
      <w:r w:rsidRPr="001351BF">
        <w:rPr>
          <w:rFonts w:ascii="Arial" w:hAnsi="Arial" w:cs="Arial"/>
          <w:sz w:val="20"/>
          <w:szCs w:val="20"/>
          <w:lang w:val="de-CH"/>
        </w:rPr>
        <w:t xml:space="preserve"> </w:t>
      </w:r>
      <w:r w:rsidRPr="001351BF">
        <w:rPr>
          <w:rFonts w:ascii="Arial" w:hAnsi="Arial" w:cs="Arial"/>
          <w:b/>
          <w:bCs/>
          <w:sz w:val="20"/>
          <w:szCs w:val="20"/>
          <w:lang w:val="x-none"/>
        </w:rPr>
        <w:t>KI:</w:t>
      </w:r>
      <w:r w:rsidRPr="001351BF">
        <w:rPr>
          <w:rFonts w:ascii="Arial" w:hAnsi="Arial" w:cs="Arial"/>
          <w:sz w:val="20"/>
          <w:szCs w:val="20"/>
          <w:lang w:val="x-none"/>
        </w:rPr>
        <w:t xml:space="preserve"> </w:t>
      </w:r>
      <w:r w:rsidRPr="001351BF">
        <w:rPr>
          <w:rFonts w:ascii="Arial" w:hAnsi="Arial" w:cs="Arial"/>
          <w:sz w:val="20"/>
          <w:szCs w:val="20"/>
          <w:lang w:val="de-DE"/>
        </w:rPr>
        <w:t>Überempfindlichkeit auf Wirkstoff oder Hilfsstoffe. Infektion an vorgesehenen Inj</w:t>
      </w:r>
      <w:r w:rsidR="00B025EE" w:rsidRPr="001351BF">
        <w:rPr>
          <w:rFonts w:ascii="Arial" w:hAnsi="Arial" w:cs="Arial"/>
          <w:sz w:val="20"/>
          <w:szCs w:val="20"/>
          <w:lang w:val="de-DE"/>
        </w:rPr>
        <w:t>ektions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stellen. </w:t>
      </w:r>
      <w:r w:rsidRPr="001351BF">
        <w:rPr>
          <w:rFonts w:ascii="Arial" w:hAnsi="Arial" w:cs="Arial"/>
          <w:iCs/>
          <w:sz w:val="20"/>
          <w:szCs w:val="20"/>
          <w:lang w:val="de-DE"/>
        </w:rPr>
        <w:t>Bei Inj</w:t>
      </w:r>
      <w:r w:rsidR="00B025EE" w:rsidRPr="001351BF">
        <w:rPr>
          <w:rFonts w:ascii="Arial" w:hAnsi="Arial" w:cs="Arial"/>
          <w:iCs/>
          <w:sz w:val="20"/>
          <w:szCs w:val="20"/>
          <w:lang w:val="de-DE"/>
        </w:rPr>
        <w:t>ektion</w:t>
      </w:r>
      <w:r w:rsidRPr="001351BF">
        <w:rPr>
          <w:rFonts w:ascii="Arial" w:hAnsi="Arial" w:cs="Arial"/>
          <w:iCs/>
          <w:sz w:val="20"/>
          <w:szCs w:val="20"/>
          <w:lang w:val="de-DE"/>
        </w:rPr>
        <w:t xml:space="preserve"> in den Detrusor: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Harnwegsinfekt, akute Harnretention ohne Katheter. </w:t>
      </w:r>
      <w:r w:rsidRPr="001351BF">
        <w:rPr>
          <w:rFonts w:ascii="Arial" w:hAnsi="Arial" w:cs="Arial"/>
          <w:b/>
          <w:bCs/>
          <w:sz w:val="20"/>
          <w:szCs w:val="20"/>
          <w:lang w:val="x-none"/>
        </w:rPr>
        <w:t>W:</w:t>
      </w:r>
      <w:r w:rsidRPr="001351BF">
        <w:rPr>
          <w:rFonts w:ascii="Arial" w:hAnsi="Arial" w:cs="Arial"/>
          <w:sz w:val="20"/>
          <w:szCs w:val="20"/>
          <w:lang w:val="x-none"/>
        </w:rPr>
        <w:t xml:space="preserve"> </w:t>
      </w:r>
      <w:r w:rsidRPr="001351BF">
        <w:rPr>
          <w:rFonts w:ascii="Arial" w:hAnsi="Arial" w:cs="Arial"/>
          <w:sz w:val="20"/>
          <w:szCs w:val="20"/>
          <w:lang w:val="de-DE"/>
        </w:rPr>
        <w:t>Empfohlene Dosierungsempfehlungen nicht überschreiten. Vor Behandlung im Einzelfall Nutzen und Risiko abwägen (</w:t>
      </w:r>
      <w:r w:rsidR="00B025EE" w:rsidRPr="001351BF">
        <w:rPr>
          <w:rFonts w:ascii="Arial" w:hAnsi="Arial" w:cs="Arial"/>
          <w:sz w:val="20"/>
          <w:szCs w:val="20"/>
          <w:lang w:val="de-DE"/>
        </w:rPr>
        <w:t>bei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neurolog</w:t>
      </w:r>
      <w:r w:rsidR="00B025EE" w:rsidRPr="001351BF">
        <w:rPr>
          <w:rFonts w:ascii="Arial" w:hAnsi="Arial" w:cs="Arial"/>
          <w:sz w:val="20"/>
          <w:szCs w:val="20"/>
          <w:lang w:val="de-DE"/>
        </w:rPr>
        <w:t>ischer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Grunderkrankung, Dysphagie und Aspiration in der Anamnese, Epilepsie). Frühere chirurg</w:t>
      </w:r>
      <w:r w:rsidR="00B025EE" w:rsidRPr="001351BF">
        <w:rPr>
          <w:rFonts w:ascii="Arial" w:hAnsi="Arial" w:cs="Arial"/>
          <w:sz w:val="20"/>
          <w:szCs w:val="20"/>
          <w:lang w:val="de-DE"/>
        </w:rPr>
        <w:t>ische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Eingriffe, Inj</w:t>
      </w:r>
      <w:r w:rsidR="00B025EE" w:rsidRPr="001351BF">
        <w:rPr>
          <w:rFonts w:ascii="Arial" w:hAnsi="Arial" w:cs="Arial"/>
          <w:sz w:val="20"/>
          <w:szCs w:val="20"/>
          <w:lang w:val="de-DE"/>
        </w:rPr>
        <w:t>ektion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in verletzliche anatomische Strukturen, Entzündung der vorgesehenen Inj</w:t>
      </w:r>
      <w:r w:rsidR="00B025EE" w:rsidRPr="001351BF">
        <w:rPr>
          <w:rFonts w:ascii="Arial" w:hAnsi="Arial" w:cs="Arial"/>
          <w:sz w:val="20"/>
          <w:szCs w:val="20"/>
          <w:lang w:val="de-DE"/>
        </w:rPr>
        <w:t>ektions</w:t>
      </w:r>
      <w:r w:rsidRPr="001351BF">
        <w:rPr>
          <w:rFonts w:ascii="Arial" w:hAnsi="Arial" w:cs="Arial"/>
          <w:sz w:val="20"/>
          <w:szCs w:val="20"/>
          <w:lang w:val="de-DE"/>
        </w:rPr>
        <w:t>stelle, Schwäche/Atrophie des zu injiz</w:t>
      </w:r>
      <w:r w:rsidR="00B025EE" w:rsidRPr="001351BF">
        <w:rPr>
          <w:rFonts w:ascii="Arial" w:hAnsi="Arial" w:cs="Arial"/>
          <w:sz w:val="20"/>
          <w:szCs w:val="20"/>
          <w:lang w:val="de-DE"/>
        </w:rPr>
        <w:t>ierenden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Muskels; Schluck</w:t>
      </w:r>
      <w:r w:rsidR="004B6BF8" w:rsidRPr="001351BF">
        <w:rPr>
          <w:rFonts w:ascii="Arial" w:hAnsi="Arial" w:cs="Arial"/>
          <w:sz w:val="20"/>
          <w:szCs w:val="20"/>
          <w:lang w:val="de-DE"/>
        </w:rPr>
        <w:t>-</w:t>
      </w:r>
      <w:r w:rsidRPr="001351BF">
        <w:rPr>
          <w:rFonts w:ascii="Arial" w:hAnsi="Arial" w:cs="Arial"/>
          <w:sz w:val="20"/>
          <w:szCs w:val="20"/>
          <w:lang w:val="de-DE"/>
        </w:rPr>
        <w:t>, Sprech-, Atemstörungen, die sofortige Verständigung des Notdienstes erfordern; Verfügbarkeit von Sofortmassnahmen bei anaphylakt</w:t>
      </w:r>
      <w:r w:rsidR="00B025EE" w:rsidRPr="001351BF">
        <w:rPr>
          <w:rFonts w:ascii="Arial" w:hAnsi="Arial" w:cs="Arial"/>
          <w:sz w:val="20"/>
          <w:szCs w:val="20"/>
          <w:lang w:val="de-DE"/>
        </w:rPr>
        <w:t>ischen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Reaktionen; mögliche Reduktion der Wirksamkeit d</w:t>
      </w:r>
      <w:r w:rsidR="00B025EE" w:rsidRPr="001351BF">
        <w:rPr>
          <w:rFonts w:ascii="Arial" w:hAnsi="Arial" w:cs="Arial"/>
          <w:sz w:val="20"/>
          <w:szCs w:val="20"/>
          <w:lang w:val="de-DE"/>
        </w:rPr>
        <w:t>urch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Bildung neutralisierender Antikörper. Vorsicht b</w:t>
      </w:r>
      <w:r w:rsidR="00B025EE" w:rsidRPr="001351BF">
        <w:rPr>
          <w:rFonts w:ascii="Arial" w:hAnsi="Arial" w:cs="Arial"/>
          <w:sz w:val="20"/>
          <w:szCs w:val="20"/>
          <w:lang w:val="de-DE"/>
        </w:rPr>
        <w:t>ei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Erkrankungen, die zu peripheren </w:t>
      </w:r>
      <w:r w:rsidRPr="001351BF">
        <w:rPr>
          <w:rFonts w:ascii="Arial" w:hAnsi="Arial" w:cs="Arial"/>
          <w:spacing w:val="-1"/>
          <w:sz w:val="20"/>
          <w:szCs w:val="20"/>
          <w:lang w:val="de-DE"/>
        </w:rPr>
        <w:t>neuromuskulären Dysfunktionen führen können und bei Patienten mit nachgewiesener gestörter neuromuskulärer Reizleitung (z.B. Myasthenia gravis, Eaton-Lambert-Syndrom). Vorsicht bei Inj</w:t>
      </w:r>
      <w:r w:rsidR="00B025EE" w:rsidRPr="001351BF">
        <w:rPr>
          <w:rFonts w:ascii="Arial" w:hAnsi="Arial" w:cs="Arial"/>
          <w:spacing w:val="-1"/>
          <w:sz w:val="20"/>
          <w:szCs w:val="20"/>
          <w:lang w:val="de-DE"/>
        </w:rPr>
        <w:t>ektion</w:t>
      </w:r>
      <w:r w:rsidRPr="001351BF">
        <w:rPr>
          <w:rFonts w:ascii="Arial" w:hAnsi="Arial" w:cs="Arial"/>
          <w:spacing w:val="-1"/>
          <w:sz w:val="20"/>
          <w:szCs w:val="20"/>
          <w:lang w:val="de-DE"/>
        </w:rPr>
        <w:t xml:space="preserve"> in Lungennähe (insb. Apices). Verdünnte Lsg. in der Spritze (z.B. bei Harninkontinenz) sofort verwenden.</w:t>
      </w:r>
      <w:r w:rsidRPr="001351BF">
        <w:rPr>
          <w:rFonts w:ascii="Arial" w:hAnsi="Arial" w:cs="Arial"/>
          <w:sz w:val="20"/>
          <w:szCs w:val="20"/>
          <w:lang w:val="de-CH"/>
        </w:rPr>
        <w:t xml:space="preserve"> </w:t>
      </w:r>
      <w:r w:rsidRPr="001351BF">
        <w:rPr>
          <w:rFonts w:ascii="Arial" w:hAnsi="Arial" w:cs="Arial"/>
          <w:b/>
          <w:bCs/>
          <w:sz w:val="20"/>
          <w:szCs w:val="20"/>
          <w:lang w:val="x-none"/>
        </w:rPr>
        <w:t>IA:</w:t>
      </w:r>
      <w:r w:rsidRPr="001351BF">
        <w:rPr>
          <w:rFonts w:ascii="Arial" w:hAnsi="Arial" w:cs="Arial"/>
          <w:sz w:val="20"/>
          <w:szCs w:val="20"/>
          <w:lang w:val="de-CH"/>
        </w:rPr>
        <w:t xml:space="preserve"> 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Aminoglykosidantibiotika, Spectinomycin, Arzneimittel, die neuromusk. Übertragung hemmen (z.B. Muskelrelaxantien), andere Botulinum-Toxine. Kein Mischen mit anderen Arzneimitteln. Nicht empfohlen bei Frauen </w:t>
      </w:r>
      <w:r w:rsidR="008E26D6" w:rsidRPr="001351BF">
        <w:rPr>
          <w:rFonts w:ascii="Arial" w:hAnsi="Arial" w:cs="Arial"/>
          <w:sz w:val="20"/>
          <w:szCs w:val="20"/>
          <w:lang w:val="de-DE"/>
        </w:rPr>
        <w:t>im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gebärfähigen Alter, die nicht verhüten, während der Schwangerschaft oder Stillzeit.</w:t>
      </w:r>
      <w:r w:rsidRPr="001351BF">
        <w:rPr>
          <w:rFonts w:ascii="Arial" w:hAnsi="Arial" w:cs="Arial"/>
          <w:sz w:val="20"/>
          <w:szCs w:val="20"/>
          <w:lang w:val="de-CH"/>
        </w:rPr>
        <w:t xml:space="preserve"> </w:t>
      </w:r>
      <w:r w:rsidRPr="001351BF">
        <w:rPr>
          <w:rFonts w:ascii="Arial" w:hAnsi="Arial" w:cs="Arial"/>
          <w:b/>
          <w:bCs/>
          <w:sz w:val="20"/>
          <w:szCs w:val="20"/>
          <w:lang w:val="x-none"/>
        </w:rPr>
        <w:t>UW:</w:t>
      </w:r>
      <w:r w:rsidRPr="001351BF">
        <w:rPr>
          <w:rFonts w:ascii="Arial" w:hAnsi="Arial" w:cs="Arial"/>
          <w:sz w:val="20"/>
          <w:szCs w:val="20"/>
          <w:lang w:val="x-none"/>
        </w:rPr>
        <w:t xml:space="preserve"> </w:t>
      </w:r>
      <w:r w:rsidRPr="001351BF">
        <w:rPr>
          <w:rFonts w:ascii="Arial" w:hAnsi="Arial" w:cs="Arial"/>
          <w:iCs/>
          <w:sz w:val="20"/>
          <w:szCs w:val="20"/>
          <w:lang w:val="de-DE"/>
        </w:rPr>
        <w:t>Sehr häufig: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 Oberlidptosis, Störungen der Augenbewegungen, Dysphagie, Muskelschwäche, </w:t>
      </w:r>
      <w:r w:rsidR="008E26D6" w:rsidRPr="001351BF">
        <w:rPr>
          <w:rFonts w:ascii="Arial" w:hAnsi="Arial" w:cs="Arial"/>
          <w:sz w:val="20"/>
          <w:szCs w:val="20"/>
          <w:lang w:val="de-DE"/>
        </w:rPr>
        <w:t xml:space="preserve">Schmerz, Infektion der Harnwege, Dysurie, Bakteriurie, Harnretention, Restharnvolumen, </w:t>
      </w:r>
      <w:r w:rsidRPr="001351BF">
        <w:rPr>
          <w:rFonts w:ascii="Arial" w:hAnsi="Arial" w:cs="Arial"/>
          <w:sz w:val="20"/>
          <w:szCs w:val="20"/>
          <w:lang w:val="de-DE"/>
        </w:rPr>
        <w:t>Schmerzen an Inj</w:t>
      </w:r>
      <w:r w:rsidR="008E26D6" w:rsidRPr="001351BF">
        <w:rPr>
          <w:rFonts w:ascii="Arial" w:hAnsi="Arial" w:cs="Arial"/>
          <w:sz w:val="20"/>
          <w:szCs w:val="20"/>
          <w:lang w:val="de-DE"/>
        </w:rPr>
        <w:t>ektions</w:t>
      </w:r>
      <w:r w:rsidRPr="001351BF">
        <w:rPr>
          <w:rFonts w:ascii="Arial" w:hAnsi="Arial" w:cs="Arial"/>
          <w:sz w:val="20"/>
          <w:szCs w:val="20"/>
          <w:lang w:val="de-DE"/>
        </w:rPr>
        <w:t xml:space="preserve">stelle. </w:t>
      </w:r>
      <w:r w:rsidRPr="001351BF">
        <w:rPr>
          <w:rFonts w:ascii="Arial" w:hAnsi="Arial" w:cs="Arial"/>
          <w:b/>
          <w:bCs/>
          <w:sz w:val="20"/>
          <w:szCs w:val="20"/>
          <w:lang w:val="x-none"/>
        </w:rPr>
        <w:t>P:</w:t>
      </w:r>
      <w:r w:rsidRPr="001351BF">
        <w:rPr>
          <w:rFonts w:ascii="Arial" w:hAnsi="Arial" w:cs="Arial"/>
          <w:sz w:val="20"/>
          <w:szCs w:val="20"/>
          <w:lang w:val="x-none"/>
        </w:rPr>
        <w:t xml:space="preserve"> </w:t>
      </w:r>
      <w:r w:rsidR="00D77914" w:rsidRPr="001351BF">
        <w:rPr>
          <w:rFonts w:ascii="Arial" w:hAnsi="Arial" w:cs="Arial"/>
          <w:sz w:val="20"/>
          <w:szCs w:val="20"/>
          <w:lang w:val="de-DE"/>
        </w:rPr>
        <w:t>2 x 1 Durchstechflasche mit BOTOX</w:t>
      </w:r>
      <w:r w:rsidR="00D77914" w:rsidRPr="001351BF">
        <w:rPr>
          <w:rFonts w:ascii="Arial" w:hAnsi="Arial" w:cs="Arial"/>
          <w:sz w:val="20"/>
          <w:szCs w:val="20"/>
          <w:vertAlign w:val="superscript"/>
          <w:lang w:val="de-DE"/>
        </w:rPr>
        <w:t xml:space="preserve">® </w:t>
      </w:r>
      <w:r w:rsidR="00D77914" w:rsidRPr="001351BF">
        <w:rPr>
          <w:rFonts w:ascii="Arial" w:hAnsi="Arial" w:cs="Arial"/>
          <w:sz w:val="20"/>
          <w:szCs w:val="20"/>
          <w:lang w:val="de-DE"/>
        </w:rPr>
        <w:t xml:space="preserve">50 Allergan-Einheiten. </w:t>
      </w:r>
      <w:r w:rsidR="00E2343D" w:rsidRPr="001351BF">
        <w:rPr>
          <w:rFonts w:ascii="Arial" w:hAnsi="Arial" w:cs="Arial"/>
          <w:sz w:val="20"/>
          <w:szCs w:val="20"/>
          <w:lang w:val="de-DE"/>
        </w:rPr>
        <w:t>1 und 2 x 1 Durchstechflasche mit BOTOX</w:t>
      </w:r>
      <w:r w:rsidR="00E2343D" w:rsidRPr="001351BF">
        <w:rPr>
          <w:rFonts w:ascii="Arial" w:hAnsi="Arial" w:cs="Arial"/>
          <w:sz w:val="20"/>
          <w:szCs w:val="20"/>
          <w:vertAlign w:val="superscript"/>
          <w:lang w:val="de-DE"/>
        </w:rPr>
        <w:t xml:space="preserve">® </w:t>
      </w:r>
      <w:r w:rsidR="00E2343D" w:rsidRPr="001351BF">
        <w:rPr>
          <w:rFonts w:ascii="Arial" w:hAnsi="Arial" w:cs="Arial"/>
          <w:sz w:val="20"/>
          <w:szCs w:val="20"/>
          <w:lang w:val="de-DE"/>
        </w:rPr>
        <w:t>100 Allergan-Einheiten. Liste A, mit Limitatio.</w:t>
      </w:r>
      <w:r w:rsidR="00E2343D" w:rsidRPr="001351BF">
        <w:rPr>
          <w:rFonts w:ascii="Arial" w:hAnsi="Arial" w:cs="Arial"/>
          <w:sz w:val="20"/>
          <w:szCs w:val="20"/>
          <w:lang w:val="de-CH"/>
        </w:rPr>
        <w:t xml:space="preserve"> </w:t>
      </w:r>
      <w:r w:rsidRPr="001351BF">
        <w:rPr>
          <w:rFonts w:ascii="Arial" w:hAnsi="Arial" w:cs="Arial"/>
          <w:b/>
          <w:bCs/>
          <w:sz w:val="20"/>
          <w:szCs w:val="20"/>
          <w:lang w:val="x-none"/>
        </w:rPr>
        <w:t>Z:</w:t>
      </w:r>
      <w:r w:rsidRPr="001351BF">
        <w:rPr>
          <w:rFonts w:ascii="Arial" w:hAnsi="Arial" w:cs="Arial"/>
          <w:sz w:val="20"/>
          <w:szCs w:val="20"/>
          <w:lang w:val="x-none"/>
        </w:rPr>
        <w:t xml:space="preserve"> </w:t>
      </w:r>
      <w:bookmarkStart w:id="0" w:name="_Hlk79419183"/>
      <w:r w:rsidR="00D77914" w:rsidRPr="001351BF">
        <w:rPr>
          <w:rFonts w:ascii="Arial" w:hAnsi="Arial" w:cs="Arial"/>
          <w:sz w:val="20"/>
          <w:szCs w:val="20"/>
          <w:lang w:val="de-CH"/>
        </w:rPr>
        <w:t>AbbVie</w:t>
      </w:r>
      <w:r w:rsidR="00E2343D" w:rsidRPr="001351BF">
        <w:rPr>
          <w:rFonts w:ascii="Arial" w:hAnsi="Arial" w:cs="Arial"/>
          <w:sz w:val="20"/>
          <w:szCs w:val="20"/>
          <w:lang w:val="x-none"/>
        </w:rPr>
        <w:t xml:space="preserve"> AG, </w:t>
      </w:r>
      <w:bookmarkStart w:id="1" w:name="_Hlk79398832"/>
      <w:r w:rsidR="00E2343D" w:rsidRPr="001351BF">
        <w:rPr>
          <w:rFonts w:ascii="Arial" w:hAnsi="Arial" w:cs="Arial"/>
          <w:sz w:val="20"/>
          <w:szCs w:val="20"/>
          <w:lang w:val="x-none"/>
        </w:rPr>
        <w:t>Alte Steinhauserstrasse 14, 6330 Cham</w:t>
      </w:r>
      <w:bookmarkEnd w:id="1"/>
      <w:r w:rsidR="00E2343D" w:rsidRPr="001351BF">
        <w:rPr>
          <w:rFonts w:ascii="Arial" w:hAnsi="Arial" w:cs="Arial"/>
          <w:sz w:val="20"/>
          <w:szCs w:val="20"/>
          <w:lang w:val="x-none"/>
        </w:rPr>
        <w:t xml:space="preserve">, </w:t>
      </w:r>
      <w:bookmarkStart w:id="2" w:name="_Hlk79398844"/>
      <w:r w:rsidR="00E2343D" w:rsidRPr="001351BF">
        <w:rPr>
          <w:rFonts w:ascii="Arial" w:hAnsi="Arial" w:cs="Arial"/>
          <w:sz w:val="20"/>
          <w:szCs w:val="20"/>
          <w:lang w:val="x-none"/>
        </w:rPr>
        <w:t>Tel. (+41) 41 399 15 00</w:t>
      </w:r>
      <w:r w:rsidR="00E2343D" w:rsidRPr="001351BF">
        <w:rPr>
          <w:rFonts w:ascii="Arial" w:hAnsi="Arial" w:cs="Arial"/>
          <w:sz w:val="20"/>
          <w:szCs w:val="20"/>
          <w:lang w:val="de-CH"/>
        </w:rPr>
        <w:t>.</w:t>
      </w:r>
      <w:bookmarkEnd w:id="0"/>
      <w:bookmarkEnd w:id="2"/>
      <w:r w:rsidR="00E2343D" w:rsidRPr="001351BF">
        <w:rPr>
          <w:rFonts w:ascii="Arial" w:hAnsi="Arial" w:cs="Arial"/>
          <w:sz w:val="20"/>
          <w:szCs w:val="20"/>
          <w:lang w:val="de-CH"/>
        </w:rPr>
        <w:t xml:space="preserve"> </w:t>
      </w:r>
      <w:r w:rsidR="00E2343D" w:rsidRPr="001351BF">
        <w:rPr>
          <w:rFonts w:ascii="Arial" w:hAnsi="Arial" w:cs="Arial"/>
          <w:sz w:val="20"/>
          <w:szCs w:val="20"/>
          <w:lang w:val="x-none"/>
        </w:rPr>
        <w:t>Ausführliche Informationen, siehe Arzneimittel-Fachinformation:</w:t>
      </w:r>
      <w:r w:rsidR="00E2343D" w:rsidRPr="001351BF">
        <w:rPr>
          <w:rFonts w:ascii="Arial" w:hAnsi="Arial" w:cs="Arial"/>
          <w:sz w:val="20"/>
          <w:szCs w:val="20"/>
          <w:lang w:val="de-CH"/>
        </w:rPr>
        <w:t xml:space="preserve"> </w:t>
      </w:r>
      <w:r w:rsidR="00E2343D" w:rsidRPr="001351BF">
        <w:rPr>
          <w:rFonts w:ascii="Arial" w:hAnsi="Arial" w:cs="Arial"/>
          <w:sz w:val="20"/>
          <w:szCs w:val="20"/>
          <w:lang w:val="x-none"/>
        </w:rPr>
        <w:t>www.swissmedicinfo.ch (V</w:t>
      </w:r>
      <w:r w:rsidR="0011328A">
        <w:rPr>
          <w:rFonts w:ascii="Arial" w:hAnsi="Arial" w:cs="Arial"/>
          <w:sz w:val="20"/>
          <w:szCs w:val="20"/>
          <w:lang w:val="de-CH"/>
        </w:rPr>
        <w:t>4</w:t>
      </w:r>
      <w:r w:rsidR="00E2343D" w:rsidRPr="001351BF">
        <w:rPr>
          <w:rFonts w:ascii="Arial" w:hAnsi="Arial" w:cs="Arial"/>
          <w:sz w:val="20"/>
          <w:szCs w:val="20"/>
          <w:lang w:val="x-none"/>
        </w:rPr>
        <w:t>)</w:t>
      </w:r>
      <w:r w:rsidR="00E2343D" w:rsidRPr="001351BF">
        <w:rPr>
          <w:rFonts w:ascii="Arial" w:hAnsi="Arial" w:cs="Arial"/>
          <w:sz w:val="20"/>
          <w:szCs w:val="20"/>
          <w:lang w:val="de-CH"/>
        </w:rPr>
        <w:t>.</w:t>
      </w:r>
      <w:r w:rsidR="0069482B" w:rsidRPr="001351BF">
        <w:rPr>
          <w:rFonts w:ascii="Arial" w:hAnsi="Arial" w:cs="Arial"/>
          <w:b/>
          <w:sz w:val="20"/>
          <w:szCs w:val="20"/>
          <w:highlight w:val="lightGray"/>
          <w:lang w:val="de-CH" w:eastAsia="de-CH"/>
        </w:rPr>
        <w:t xml:space="preserve"> </w:t>
      </w:r>
    </w:p>
    <w:p w14:paraId="701565BE" w14:textId="77777777" w:rsidR="0069482B" w:rsidRPr="00650A28" w:rsidRDefault="0069482B" w:rsidP="0069482B">
      <w:pPr>
        <w:spacing w:line="276" w:lineRule="auto"/>
        <w:jc w:val="both"/>
        <w:rPr>
          <w:rFonts w:ascii="Arial" w:hAnsi="Arial" w:cs="Arial"/>
          <w:b/>
          <w:sz w:val="20"/>
          <w:szCs w:val="20"/>
          <w:highlight w:val="lightGray"/>
          <w:lang w:val="de-CH" w:eastAsia="de-CH"/>
        </w:rPr>
      </w:pPr>
    </w:p>
    <w:p w14:paraId="41BD1622" w14:textId="77777777" w:rsidR="0069482B" w:rsidRDefault="0069482B" w:rsidP="0069482B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de-CH" w:eastAsia="de-CH"/>
        </w:rPr>
      </w:pPr>
    </w:p>
    <w:p w14:paraId="276AD649" w14:textId="77777777" w:rsidR="00FB6B79" w:rsidRPr="001351BF" w:rsidRDefault="00FB6B79" w:rsidP="0069482B">
      <w:pPr>
        <w:spacing w:line="276" w:lineRule="auto"/>
        <w:jc w:val="both"/>
        <w:rPr>
          <w:rFonts w:ascii="Arial" w:hAnsi="Arial" w:cs="Arial"/>
          <w:sz w:val="20"/>
          <w:szCs w:val="20"/>
          <w:lang w:val="de-CH" w:eastAsia="de-CH"/>
        </w:rPr>
      </w:pPr>
    </w:p>
    <w:p w14:paraId="0EAD8C9C" w14:textId="7214C2B8" w:rsidR="00171801" w:rsidRPr="001351BF" w:rsidRDefault="00993C73" w:rsidP="0069482B">
      <w:pPr>
        <w:autoSpaceDE w:val="0"/>
        <w:autoSpaceDN w:val="0"/>
        <w:adjustRightInd w:val="0"/>
        <w:snapToGrid w:val="0"/>
        <w:spacing w:line="276" w:lineRule="auto"/>
        <w:rPr>
          <w:rFonts w:ascii="Arial" w:hAnsi="Arial" w:cs="Arial"/>
          <w:sz w:val="20"/>
          <w:szCs w:val="20"/>
          <w:lang w:val="de-CH"/>
        </w:rPr>
      </w:pPr>
      <w:r w:rsidRPr="00993C73">
        <w:rPr>
          <w:rFonts w:ascii="Arial" w:hAnsi="Arial" w:cs="Arial"/>
          <w:sz w:val="20"/>
          <w:szCs w:val="20"/>
          <w:lang w:val="de-CH" w:eastAsia="de-CH"/>
        </w:rPr>
        <w:t>CH-BTX-230135</w:t>
      </w:r>
      <w:r>
        <w:rPr>
          <w:rFonts w:ascii="Arial" w:hAnsi="Arial" w:cs="Arial"/>
          <w:sz w:val="20"/>
          <w:szCs w:val="20"/>
          <w:lang w:val="de-CH" w:eastAsia="de-CH"/>
        </w:rPr>
        <w:t xml:space="preserve"> </w:t>
      </w:r>
      <w:r w:rsidR="0063748C" w:rsidRPr="001351BF">
        <w:rPr>
          <w:rFonts w:ascii="Arial" w:hAnsi="Arial" w:cs="Arial"/>
          <w:sz w:val="20"/>
          <w:szCs w:val="20"/>
          <w:lang w:val="de-CH" w:eastAsia="de-CH"/>
        </w:rPr>
        <w:t>0</w:t>
      </w:r>
      <w:r w:rsidR="00FB6B79">
        <w:rPr>
          <w:rFonts w:ascii="Arial" w:hAnsi="Arial" w:cs="Arial"/>
          <w:sz w:val="20"/>
          <w:szCs w:val="20"/>
          <w:lang w:val="de-CH" w:eastAsia="de-CH"/>
        </w:rPr>
        <w:t>8</w:t>
      </w:r>
      <w:r w:rsidR="0063748C" w:rsidRPr="001351BF">
        <w:rPr>
          <w:rFonts w:ascii="Arial" w:hAnsi="Arial" w:cs="Arial"/>
          <w:sz w:val="20"/>
          <w:szCs w:val="20"/>
          <w:lang w:val="de-CH" w:eastAsia="de-CH"/>
        </w:rPr>
        <w:t>/202</w:t>
      </w:r>
      <w:r w:rsidR="00B41072" w:rsidRPr="001351BF">
        <w:rPr>
          <w:rFonts w:ascii="Arial" w:hAnsi="Arial" w:cs="Arial"/>
          <w:sz w:val="20"/>
          <w:szCs w:val="20"/>
          <w:lang w:val="de-CH" w:eastAsia="de-CH"/>
        </w:rPr>
        <w:t>3</w:t>
      </w:r>
    </w:p>
    <w:sectPr w:rsidR="00171801" w:rsidRPr="001351BF" w:rsidSect="001242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B7D4" w14:textId="77777777" w:rsidR="009250FF" w:rsidRDefault="009250FF" w:rsidP="003314D7">
      <w:r>
        <w:separator/>
      </w:r>
    </w:p>
  </w:endnote>
  <w:endnote w:type="continuationSeparator" w:id="0">
    <w:p w14:paraId="778ABE6F" w14:textId="77777777" w:rsidR="009250FF" w:rsidRDefault="009250FF" w:rsidP="003314D7">
      <w:r>
        <w:continuationSeparator/>
      </w:r>
    </w:p>
  </w:endnote>
  <w:endnote w:type="continuationNotice" w:id="1">
    <w:p w14:paraId="67FACB38" w14:textId="77777777" w:rsidR="009250FF" w:rsidRDefault="00925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EE91" w14:textId="77777777" w:rsidR="00C062F8" w:rsidRDefault="00C062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7C4" w14:textId="4293E8D7" w:rsidR="00D30349" w:rsidRPr="00541A70" w:rsidRDefault="003326A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CH"/>
      </w:rPr>
    </w:pPr>
    <w:r w:rsidRPr="00171801">
      <w:rPr>
        <w:rFonts w:ascii="Arial" w:hAnsi="Arial" w:cs="Arial"/>
        <w:color w:val="000000"/>
        <w:sz w:val="14"/>
        <w:szCs w:val="14"/>
        <w:lang w:val="fr-CH"/>
      </w:rPr>
      <w:t>BOT</w:t>
    </w:r>
    <w:r w:rsidR="00E427EB" w:rsidRPr="00171801">
      <w:rPr>
        <w:rFonts w:ascii="Arial" w:hAnsi="Arial" w:cs="Arial"/>
        <w:color w:val="000000"/>
        <w:sz w:val="14"/>
        <w:szCs w:val="14"/>
        <w:lang w:val="fr-CH"/>
      </w:rPr>
      <w:t>OX_</w:t>
    </w:r>
    <w:r w:rsidR="00C062F8">
      <w:rPr>
        <w:rFonts w:ascii="Arial" w:hAnsi="Arial" w:cs="Arial"/>
        <w:color w:val="000000"/>
        <w:sz w:val="14"/>
        <w:szCs w:val="14"/>
        <w:lang w:val="fr-CH"/>
      </w:rPr>
      <w:t>AUG</w:t>
    </w:r>
    <w:r w:rsidR="00985008">
      <w:rPr>
        <w:rFonts w:ascii="Arial" w:hAnsi="Arial" w:cs="Arial"/>
        <w:color w:val="000000"/>
        <w:sz w:val="14"/>
        <w:szCs w:val="14"/>
        <w:lang w:val="fr-CH"/>
      </w:rPr>
      <w:t>202</w:t>
    </w:r>
    <w:r w:rsidR="007831F8">
      <w:rPr>
        <w:rFonts w:ascii="Arial" w:hAnsi="Arial" w:cs="Arial"/>
        <w:color w:val="000000"/>
        <w:sz w:val="14"/>
        <w:szCs w:val="14"/>
        <w:lang w:val="fr-CH"/>
      </w:rPr>
      <w:t>3</w:t>
    </w:r>
    <w:r w:rsidR="00E427EB" w:rsidRPr="00171801">
      <w:rPr>
        <w:rFonts w:ascii="Arial" w:hAnsi="Arial" w:cs="Arial"/>
        <w:color w:val="000000"/>
        <w:sz w:val="14"/>
        <w:szCs w:val="14"/>
        <w:lang w:val="fr-CH"/>
      </w:rPr>
      <w:t>_DE</w:t>
    </w:r>
    <w:r w:rsidR="00FB6B79">
      <w:rPr>
        <w:rFonts w:ascii="Arial" w:hAnsi="Arial" w:cs="Arial"/>
        <w:color w:val="000000"/>
        <w:sz w:val="14"/>
        <w:szCs w:val="14"/>
        <w:lang w:val="fr-C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75B5" w14:textId="77777777" w:rsidR="00C062F8" w:rsidRDefault="00C06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11B3" w14:textId="77777777" w:rsidR="009250FF" w:rsidRDefault="009250FF" w:rsidP="003314D7">
      <w:r>
        <w:separator/>
      </w:r>
    </w:p>
  </w:footnote>
  <w:footnote w:type="continuationSeparator" w:id="0">
    <w:p w14:paraId="1AF6F38B" w14:textId="77777777" w:rsidR="009250FF" w:rsidRDefault="009250FF" w:rsidP="003314D7">
      <w:r>
        <w:continuationSeparator/>
      </w:r>
    </w:p>
  </w:footnote>
  <w:footnote w:type="continuationNotice" w:id="1">
    <w:p w14:paraId="3D005DBF" w14:textId="77777777" w:rsidR="009250FF" w:rsidRDefault="00925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D0B1" w14:textId="77777777" w:rsidR="00C062F8" w:rsidRDefault="00C06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7C3" w14:textId="7F764EEA" w:rsidR="003314D7" w:rsidRDefault="001262E1" w:rsidP="001262E1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32"/>
        <w:lang w:val="fr-CH"/>
      </w:rPr>
    </w:pPr>
    <w:r>
      <w:rPr>
        <w:rFonts w:eastAsiaTheme="majorEastAsia"/>
        <w:szCs w:val="32"/>
        <w:lang w:val="fr-CH"/>
      </w:rPr>
      <w:t xml:space="preserve">BOTOX Succinct </w:t>
    </w:r>
    <w:proofErr w:type="spellStart"/>
    <w:r>
      <w:rPr>
        <w:rFonts w:eastAsiaTheme="majorEastAsia"/>
        <w:szCs w:val="32"/>
        <w:lang w:val="fr-CH"/>
      </w:rPr>
      <w:t>Statement</w:t>
    </w:r>
    <w:proofErr w:type="spellEnd"/>
  </w:p>
  <w:p w14:paraId="78BE5167" w14:textId="1DE3F8F5" w:rsidR="001262E1" w:rsidRDefault="001262E1" w:rsidP="001262E1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32"/>
        <w:lang w:val="fr-CH"/>
      </w:rPr>
    </w:pPr>
    <w:r>
      <w:rPr>
        <w:rFonts w:eastAsiaTheme="majorEastAsia"/>
        <w:szCs w:val="32"/>
        <w:lang w:val="fr-CH"/>
      </w:rPr>
      <w:t>DE</w:t>
    </w:r>
  </w:p>
  <w:p w14:paraId="06C23632" w14:textId="77777777" w:rsidR="001262E1" w:rsidRPr="001262E1" w:rsidRDefault="001262E1" w:rsidP="001262E1">
    <w:pPr>
      <w:pStyle w:val="Header"/>
      <w:pBdr>
        <w:bottom w:val="thickThinSmallGap" w:sz="24" w:space="1" w:color="622423" w:themeColor="accent2" w:themeShade="7F"/>
      </w:pBdr>
      <w:jc w:val="center"/>
      <w:rPr>
        <w:rFonts w:eastAsiaTheme="majorEastAsia"/>
        <w:szCs w:val="32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A238" w14:textId="77777777" w:rsidR="00C062F8" w:rsidRDefault="00C06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05C0"/>
    <w:multiLevelType w:val="hybridMultilevel"/>
    <w:tmpl w:val="67861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0083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23"/>
    <w:rsid w:val="000002A0"/>
    <w:rsid w:val="00005001"/>
    <w:rsid w:val="000109C6"/>
    <w:rsid w:val="00016979"/>
    <w:rsid w:val="00024F2E"/>
    <w:rsid w:val="000572B2"/>
    <w:rsid w:val="00071961"/>
    <w:rsid w:val="00074EF5"/>
    <w:rsid w:val="00075C4F"/>
    <w:rsid w:val="00082ADF"/>
    <w:rsid w:val="0008536A"/>
    <w:rsid w:val="000A252E"/>
    <w:rsid w:val="000B02F8"/>
    <w:rsid w:val="000C30B1"/>
    <w:rsid w:val="000C3DFF"/>
    <w:rsid w:val="000C4131"/>
    <w:rsid w:val="000C6BB0"/>
    <w:rsid w:val="000E163D"/>
    <w:rsid w:val="00101AB4"/>
    <w:rsid w:val="0011328A"/>
    <w:rsid w:val="00124226"/>
    <w:rsid w:val="001262E1"/>
    <w:rsid w:val="0012651C"/>
    <w:rsid w:val="00134A7D"/>
    <w:rsid w:val="001351BF"/>
    <w:rsid w:val="00146A21"/>
    <w:rsid w:val="00153D98"/>
    <w:rsid w:val="001558F6"/>
    <w:rsid w:val="00170F8D"/>
    <w:rsid w:val="00171801"/>
    <w:rsid w:val="001851CA"/>
    <w:rsid w:val="001C39AC"/>
    <w:rsid w:val="001C3B40"/>
    <w:rsid w:val="001C542F"/>
    <w:rsid w:val="001C6F3E"/>
    <w:rsid w:val="001D524F"/>
    <w:rsid w:val="001E1B41"/>
    <w:rsid w:val="001F2659"/>
    <w:rsid w:val="00207833"/>
    <w:rsid w:val="00210FC8"/>
    <w:rsid w:val="00226B1A"/>
    <w:rsid w:val="0023250A"/>
    <w:rsid w:val="002549AE"/>
    <w:rsid w:val="0025704B"/>
    <w:rsid w:val="002601C8"/>
    <w:rsid w:val="00272B88"/>
    <w:rsid w:val="00283229"/>
    <w:rsid w:val="002A5C6C"/>
    <w:rsid w:val="002B1258"/>
    <w:rsid w:val="002C0F45"/>
    <w:rsid w:val="002C47CA"/>
    <w:rsid w:val="002C71F4"/>
    <w:rsid w:val="002D4A8A"/>
    <w:rsid w:val="002E708A"/>
    <w:rsid w:val="002F00DC"/>
    <w:rsid w:val="003169A3"/>
    <w:rsid w:val="0032295F"/>
    <w:rsid w:val="00330F04"/>
    <w:rsid w:val="003314D7"/>
    <w:rsid w:val="003326A3"/>
    <w:rsid w:val="00333AE9"/>
    <w:rsid w:val="00333C43"/>
    <w:rsid w:val="00337F96"/>
    <w:rsid w:val="00367FEC"/>
    <w:rsid w:val="0037263D"/>
    <w:rsid w:val="003765E4"/>
    <w:rsid w:val="00381A90"/>
    <w:rsid w:val="003B1C15"/>
    <w:rsid w:val="003B5EBF"/>
    <w:rsid w:val="003F6D0F"/>
    <w:rsid w:val="0040215B"/>
    <w:rsid w:val="0042324B"/>
    <w:rsid w:val="00423664"/>
    <w:rsid w:val="00445AAD"/>
    <w:rsid w:val="004519CC"/>
    <w:rsid w:val="0046312E"/>
    <w:rsid w:val="00463FAD"/>
    <w:rsid w:val="004758C4"/>
    <w:rsid w:val="00494FF8"/>
    <w:rsid w:val="004B4E14"/>
    <w:rsid w:val="004B6BF8"/>
    <w:rsid w:val="004C0B0F"/>
    <w:rsid w:val="004C6A35"/>
    <w:rsid w:val="004F3C86"/>
    <w:rsid w:val="00536F29"/>
    <w:rsid w:val="00541A70"/>
    <w:rsid w:val="00545CF3"/>
    <w:rsid w:val="005509EA"/>
    <w:rsid w:val="00561888"/>
    <w:rsid w:val="00571CE2"/>
    <w:rsid w:val="00574A1D"/>
    <w:rsid w:val="00576EED"/>
    <w:rsid w:val="005908C0"/>
    <w:rsid w:val="0059126E"/>
    <w:rsid w:val="0059587C"/>
    <w:rsid w:val="005A3263"/>
    <w:rsid w:val="005B0D93"/>
    <w:rsid w:val="005B7D3B"/>
    <w:rsid w:val="005D4362"/>
    <w:rsid w:val="005D6F7A"/>
    <w:rsid w:val="006238FF"/>
    <w:rsid w:val="00623EAB"/>
    <w:rsid w:val="0062484B"/>
    <w:rsid w:val="0063748C"/>
    <w:rsid w:val="00642EFD"/>
    <w:rsid w:val="00650A28"/>
    <w:rsid w:val="00662310"/>
    <w:rsid w:val="00686852"/>
    <w:rsid w:val="0069279E"/>
    <w:rsid w:val="0069375B"/>
    <w:rsid w:val="0069482B"/>
    <w:rsid w:val="00695C05"/>
    <w:rsid w:val="006A02D5"/>
    <w:rsid w:val="006A0B4C"/>
    <w:rsid w:val="006B4DEA"/>
    <w:rsid w:val="006C268C"/>
    <w:rsid w:val="006D4648"/>
    <w:rsid w:val="006E5CBA"/>
    <w:rsid w:val="006E7716"/>
    <w:rsid w:val="006F4B38"/>
    <w:rsid w:val="006F75AC"/>
    <w:rsid w:val="006F798B"/>
    <w:rsid w:val="00701A6E"/>
    <w:rsid w:val="0071150D"/>
    <w:rsid w:val="00714523"/>
    <w:rsid w:val="0071472A"/>
    <w:rsid w:val="0072165E"/>
    <w:rsid w:val="00722758"/>
    <w:rsid w:val="00735727"/>
    <w:rsid w:val="007440A6"/>
    <w:rsid w:val="00751BCF"/>
    <w:rsid w:val="0075661B"/>
    <w:rsid w:val="00767A28"/>
    <w:rsid w:val="00774A12"/>
    <w:rsid w:val="007831F8"/>
    <w:rsid w:val="007A1F06"/>
    <w:rsid w:val="007A3921"/>
    <w:rsid w:val="007B4EBE"/>
    <w:rsid w:val="007B77E5"/>
    <w:rsid w:val="007C0AA9"/>
    <w:rsid w:val="007C0B46"/>
    <w:rsid w:val="007C78CD"/>
    <w:rsid w:val="007D1271"/>
    <w:rsid w:val="007F4F5E"/>
    <w:rsid w:val="00816E02"/>
    <w:rsid w:val="00817929"/>
    <w:rsid w:val="00823F4A"/>
    <w:rsid w:val="008341A9"/>
    <w:rsid w:val="0083435D"/>
    <w:rsid w:val="00835126"/>
    <w:rsid w:val="008413D3"/>
    <w:rsid w:val="008460A5"/>
    <w:rsid w:val="00851A3E"/>
    <w:rsid w:val="00857333"/>
    <w:rsid w:val="00862D86"/>
    <w:rsid w:val="00871B30"/>
    <w:rsid w:val="00876CC9"/>
    <w:rsid w:val="00881FF1"/>
    <w:rsid w:val="00885F22"/>
    <w:rsid w:val="008956FC"/>
    <w:rsid w:val="008A034F"/>
    <w:rsid w:val="008A6867"/>
    <w:rsid w:val="008C0EFD"/>
    <w:rsid w:val="008E26D6"/>
    <w:rsid w:val="008E318C"/>
    <w:rsid w:val="00903760"/>
    <w:rsid w:val="00906FD6"/>
    <w:rsid w:val="009148DC"/>
    <w:rsid w:val="00914CFC"/>
    <w:rsid w:val="009250FF"/>
    <w:rsid w:val="00925257"/>
    <w:rsid w:val="00932FFA"/>
    <w:rsid w:val="00946686"/>
    <w:rsid w:val="00946A07"/>
    <w:rsid w:val="00950006"/>
    <w:rsid w:val="0095180C"/>
    <w:rsid w:val="00952C7D"/>
    <w:rsid w:val="00954B0A"/>
    <w:rsid w:val="0095662A"/>
    <w:rsid w:val="00964708"/>
    <w:rsid w:val="00975415"/>
    <w:rsid w:val="009768C1"/>
    <w:rsid w:val="00980190"/>
    <w:rsid w:val="00985008"/>
    <w:rsid w:val="00993C73"/>
    <w:rsid w:val="0099586B"/>
    <w:rsid w:val="009B16F9"/>
    <w:rsid w:val="009B351A"/>
    <w:rsid w:val="009C7928"/>
    <w:rsid w:val="009D1CAC"/>
    <w:rsid w:val="009D4277"/>
    <w:rsid w:val="009D4E1C"/>
    <w:rsid w:val="009E3BE5"/>
    <w:rsid w:val="009F080A"/>
    <w:rsid w:val="00A012A8"/>
    <w:rsid w:val="00A07153"/>
    <w:rsid w:val="00A136FF"/>
    <w:rsid w:val="00A264FE"/>
    <w:rsid w:val="00A316C0"/>
    <w:rsid w:val="00A331FB"/>
    <w:rsid w:val="00A3460B"/>
    <w:rsid w:val="00A44D15"/>
    <w:rsid w:val="00A530F5"/>
    <w:rsid w:val="00A721E6"/>
    <w:rsid w:val="00A741BB"/>
    <w:rsid w:val="00A820A2"/>
    <w:rsid w:val="00A8329A"/>
    <w:rsid w:val="00A85F31"/>
    <w:rsid w:val="00A86C5D"/>
    <w:rsid w:val="00A90F54"/>
    <w:rsid w:val="00A914FF"/>
    <w:rsid w:val="00AA48B0"/>
    <w:rsid w:val="00AD2E94"/>
    <w:rsid w:val="00AF6EEF"/>
    <w:rsid w:val="00B025EE"/>
    <w:rsid w:val="00B07609"/>
    <w:rsid w:val="00B174B5"/>
    <w:rsid w:val="00B24E8D"/>
    <w:rsid w:val="00B41072"/>
    <w:rsid w:val="00B46034"/>
    <w:rsid w:val="00B46541"/>
    <w:rsid w:val="00B60E6F"/>
    <w:rsid w:val="00B7119E"/>
    <w:rsid w:val="00B74F5F"/>
    <w:rsid w:val="00B8213A"/>
    <w:rsid w:val="00BB1A5C"/>
    <w:rsid w:val="00BC51F3"/>
    <w:rsid w:val="00BD2777"/>
    <w:rsid w:val="00BE32F6"/>
    <w:rsid w:val="00BE526B"/>
    <w:rsid w:val="00BF12C1"/>
    <w:rsid w:val="00BF2776"/>
    <w:rsid w:val="00C062F8"/>
    <w:rsid w:val="00C11D9F"/>
    <w:rsid w:val="00C12181"/>
    <w:rsid w:val="00C12E10"/>
    <w:rsid w:val="00C12F56"/>
    <w:rsid w:val="00C171D2"/>
    <w:rsid w:val="00C46871"/>
    <w:rsid w:val="00C52422"/>
    <w:rsid w:val="00C55837"/>
    <w:rsid w:val="00C5597B"/>
    <w:rsid w:val="00C56331"/>
    <w:rsid w:val="00C718AA"/>
    <w:rsid w:val="00C74D8F"/>
    <w:rsid w:val="00C87AC5"/>
    <w:rsid w:val="00C95F1C"/>
    <w:rsid w:val="00CA5B85"/>
    <w:rsid w:val="00CB0DDF"/>
    <w:rsid w:val="00CB32CC"/>
    <w:rsid w:val="00CB572F"/>
    <w:rsid w:val="00CB5907"/>
    <w:rsid w:val="00CB69B1"/>
    <w:rsid w:val="00CC1E7F"/>
    <w:rsid w:val="00CF207F"/>
    <w:rsid w:val="00D30349"/>
    <w:rsid w:val="00D32E31"/>
    <w:rsid w:val="00D419A9"/>
    <w:rsid w:val="00D43E3C"/>
    <w:rsid w:val="00D463EB"/>
    <w:rsid w:val="00D51A8B"/>
    <w:rsid w:val="00D60B77"/>
    <w:rsid w:val="00D77914"/>
    <w:rsid w:val="00D97846"/>
    <w:rsid w:val="00DA08E3"/>
    <w:rsid w:val="00DA69C7"/>
    <w:rsid w:val="00DC280B"/>
    <w:rsid w:val="00DD109C"/>
    <w:rsid w:val="00DD3788"/>
    <w:rsid w:val="00DD5500"/>
    <w:rsid w:val="00DE123A"/>
    <w:rsid w:val="00DF28A5"/>
    <w:rsid w:val="00DF6784"/>
    <w:rsid w:val="00E13409"/>
    <w:rsid w:val="00E2343D"/>
    <w:rsid w:val="00E427EB"/>
    <w:rsid w:val="00E57C9E"/>
    <w:rsid w:val="00E8576E"/>
    <w:rsid w:val="00E85BE7"/>
    <w:rsid w:val="00E93FA1"/>
    <w:rsid w:val="00E96E5C"/>
    <w:rsid w:val="00E97558"/>
    <w:rsid w:val="00EB02CB"/>
    <w:rsid w:val="00EB5A72"/>
    <w:rsid w:val="00F03A28"/>
    <w:rsid w:val="00F068B4"/>
    <w:rsid w:val="00F10C8F"/>
    <w:rsid w:val="00F17DA6"/>
    <w:rsid w:val="00F201D7"/>
    <w:rsid w:val="00F23608"/>
    <w:rsid w:val="00F26046"/>
    <w:rsid w:val="00F676E0"/>
    <w:rsid w:val="00F67786"/>
    <w:rsid w:val="00F67953"/>
    <w:rsid w:val="00F72C26"/>
    <w:rsid w:val="00F964D1"/>
    <w:rsid w:val="00FB2341"/>
    <w:rsid w:val="00FB6B79"/>
    <w:rsid w:val="00FC1EFB"/>
    <w:rsid w:val="00FD73AF"/>
    <w:rsid w:val="00FE0BE6"/>
    <w:rsid w:val="00FF25E7"/>
    <w:rsid w:val="00FF46F9"/>
    <w:rsid w:val="00FF4830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4FE7B0"/>
  <w15:docId w15:val="{C7784952-A2A6-445E-B796-A6353F5A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597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C5597B"/>
    <w:pPr>
      <w:keepNext/>
      <w:outlineLvl w:val="0"/>
    </w:pPr>
    <w:rPr>
      <w:i/>
      <w:iCs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597B"/>
    <w:pPr>
      <w:jc w:val="both"/>
    </w:pPr>
    <w:rPr>
      <w:b/>
      <w:bCs/>
      <w:lang w:val="de-CH"/>
    </w:rPr>
  </w:style>
  <w:style w:type="paragraph" w:styleId="Header">
    <w:name w:val="header"/>
    <w:basedOn w:val="Normal"/>
    <w:link w:val="HeaderChar"/>
    <w:uiPriority w:val="99"/>
    <w:rsid w:val="003314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4D7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3314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4D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331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4D7"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rsid w:val="00124226"/>
    <w:rPr>
      <w:b/>
      <w:bCs/>
      <w:sz w:val="24"/>
      <w:szCs w:val="24"/>
      <w:lang w:val="de-CH"/>
    </w:rPr>
  </w:style>
  <w:style w:type="character" w:styleId="Hyperlink">
    <w:name w:val="Hyperlink"/>
    <w:basedOn w:val="DefaultParagraphFont"/>
    <w:uiPriority w:val="99"/>
    <w:unhideWhenUsed/>
    <w:rsid w:val="00126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0712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3709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2012-10-03T00:00:00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2E0D6C52D404B954442D564E80621" ma:contentTypeVersion="17" ma:contentTypeDescription="Create a new document." ma:contentTypeScope="" ma:versionID="fc5cfe7e404cc91b035287f7cd6bbe5b">
  <xsd:schema xmlns:xsd="http://www.w3.org/2001/XMLSchema" xmlns:xs="http://www.w3.org/2001/XMLSchema" xmlns:p="http://schemas.microsoft.com/office/2006/metadata/properties" xmlns:ns2="c23645ec-25cb-41f8-9e99-90ff87cb74ba" xmlns:ns3="2ffc0bb4-c465-441e-9597-417e7db4d99d" targetNamespace="http://schemas.microsoft.com/office/2006/metadata/properties" ma:root="true" ma:fieldsID="8190afb63042b3c0b4165fa8ecf665f0" ns2:_="" ns3:_="">
    <xsd:import namespace="c23645ec-25cb-41f8-9e99-90ff87cb74ba"/>
    <xsd:import namespace="2ffc0bb4-c465-441e-9597-417e7db4d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645ec-25cb-41f8-9e99-90ff87cb7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c0bb4-c465-441e-9597-417e7db4d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87c8db-c950-4f1f-8059-afe24e577dd0}" ma:internalName="TaxCatchAll" ma:showField="CatchAllData" ma:web="2ffc0bb4-c465-441e-9597-417e7db4d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lcf76f155ced4ddcb4097134ff3c332f xmlns="c23645ec-25cb-41f8-9e99-90ff87cb74ba">
      <Terms xmlns="http://schemas.microsoft.com/office/infopath/2007/PartnerControls"/>
    </lcf76f155ced4ddcb4097134ff3c332f>
    <TaxCatchAll xmlns="2ffc0bb4-c465-441e-9597-417e7db4d99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99E912-B2F6-4D89-B3F4-1FB227421C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27053-6307-46C3-8552-17F7AC7B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DA6F3-8747-46E9-AF2F-9351EE43AEA8}"/>
</file>

<file path=customXml/itemProps5.xml><?xml version="1.0" encoding="utf-8"?>
<ds:datastoreItem xmlns:ds="http://schemas.openxmlformats.org/officeDocument/2006/customXml" ds:itemID="{DDAAB66B-9967-4A05-B9A3-46F14414AD39}">
  <ds:schemaRefs>
    <ds:schemaRef ds:uri="http://schemas.microsoft.com/office/2006/metadata/properties"/>
    <ds:schemaRef ds:uri="f32f38f4-f640-499f-a6c5-41bfa3484e7c"/>
    <ds:schemaRef ds:uri="http://schemas.microsoft.com/office/infopath/2007/PartnerControls"/>
    <ds:schemaRef ds:uri="1d90194e-75d1-41a4-acda-160053378f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 – FR - EN</vt:lpstr>
      <vt:lpstr>DE – FR - EN</vt:lpstr>
    </vt:vector>
  </TitlesOfParts>
  <Company>Allergan AB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– FR - EN</dc:title>
  <dc:subject/>
  <dc:creator>PFC</dc:creator>
  <cp:keywords/>
  <cp:lastModifiedBy>Voigt, Katrin-Caroline</cp:lastModifiedBy>
  <cp:revision>2</cp:revision>
  <cp:lastPrinted>2017-07-26T11:17:00Z</cp:lastPrinted>
  <dcterms:created xsi:type="dcterms:W3CDTF">2023-08-08T07:08:00Z</dcterms:created>
  <dcterms:modified xsi:type="dcterms:W3CDTF">2023-08-08T07:08:00Z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0x0101000BDEF5F284627F44851DD9AB9D23ED3D</vt:lpwstr>
  </property>
  <property fmtid="{D5CDD505-2E9C-101B-9397-08002B2CF9AE}" pid="3" name="Order">
    <vt:r8>41929400</vt:r8>
  </property>
  <property fmtid="{D5CDD505-2E9C-101B-9397-08002B2CF9AE}" pid="4" name="MediaServiceImageTags">
    <vt:lpwstr/>
  </property>
</Properties>
</file>